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教育经济与管理</w:t>
      </w:r>
      <w:r>
        <w:rPr>
          <w:rFonts w:hint="eastAsia"/>
          <w:b/>
          <w:sz w:val="32"/>
          <w:szCs w:val="32"/>
          <w:lang w:val="en-US" w:eastAsia="zh-CN"/>
        </w:rPr>
        <w:t>专业</w:t>
      </w:r>
      <w:r>
        <w:rPr>
          <w:b/>
          <w:sz w:val="32"/>
          <w:szCs w:val="32"/>
        </w:rPr>
        <w:t>硕士</w:t>
      </w:r>
      <w:r>
        <w:rPr>
          <w:rFonts w:hint="eastAsia"/>
          <w:b/>
          <w:sz w:val="32"/>
          <w:szCs w:val="32"/>
        </w:rPr>
        <w:t>生</w:t>
      </w:r>
      <w:r>
        <w:rPr>
          <w:b/>
          <w:sz w:val="32"/>
          <w:szCs w:val="32"/>
        </w:rPr>
        <w:t>入学考试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“教育管理学”考试大纲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(科目代码: 634)</w:t>
      </w:r>
    </w:p>
    <w:p/>
    <w:p>
      <w:pPr>
        <w:spacing w:line="360" w:lineRule="auto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</w:rPr>
        <w:t>第一部分 考试说明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>一、考试性质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教育</w:t>
      </w:r>
      <w:r>
        <w:rPr>
          <w:rFonts w:hint="eastAsia"/>
          <w:sz w:val="24"/>
          <w:lang w:val="en-US" w:eastAsia="zh-CN"/>
        </w:rPr>
        <w:t>管理学</w:t>
      </w:r>
      <w:r>
        <w:rPr>
          <w:sz w:val="24"/>
        </w:rPr>
        <w:t>是我校教育经济与管理专业硕士生专业考试课程之一。它的评价标准是高等学校优秀本科毕业生能够达到的</w:t>
      </w:r>
      <w:r>
        <w:rPr>
          <w:rFonts w:hint="eastAsia"/>
          <w:sz w:val="24"/>
          <w:lang w:val="en-US" w:eastAsia="zh-CN"/>
        </w:rPr>
        <w:t>学业</w:t>
      </w:r>
      <w:r>
        <w:rPr>
          <w:sz w:val="24"/>
        </w:rPr>
        <w:t>水平，以保证被录取者具有</w:t>
      </w:r>
      <w:r>
        <w:rPr>
          <w:rFonts w:hint="eastAsia"/>
          <w:sz w:val="24"/>
          <w:lang w:val="en-US" w:eastAsia="zh-CN"/>
        </w:rPr>
        <w:t>从事</w:t>
      </w:r>
      <w:r>
        <w:rPr>
          <w:sz w:val="24"/>
        </w:rPr>
        <w:t>教育</w:t>
      </w:r>
      <w:r>
        <w:rPr>
          <w:rFonts w:hint="eastAsia"/>
          <w:sz w:val="24"/>
          <w:lang w:val="en-US" w:eastAsia="zh-CN"/>
        </w:rPr>
        <w:t>管理</w:t>
      </w:r>
      <w:r>
        <w:rPr>
          <w:sz w:val="24"/>
        </w:rPr>
        <w:t>学</w:t>
      </w:r>
      <w:r>
        <w:rPr>
          <w:rFonts w:hint="eastAsia"/>
          <w:sz w:val="24"/>
          <w:lang w:val="en-US" w:eastAsia="zh-CN"/>
        </w:rPr>
        <w:t>研究的良好基础。</w:t>
      </w:r>
    </w:p>
    <w:p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>考试对象为参加全国硕士研究生入学考试的准考考生。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 xml:space="preserve">二、考试形式与试卷结构 </w:t>
      </w:r>
    </w:p>
    <w:p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>（一） 答卷方式：闭卷，笔试</w:t>
      </w:r>
    </w:p>
    <w:p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>（二） 答题时间：180分钟</w:t>
      </w:r>
    </w:p>
    <w:p>
      <w:pPr>
        <w:spacing w:line="360" w:lineRule="auto"/>
        <w:rPr>
          <w:rFonts w:hint="eastAsia" w:eastAsia="宋体"/>
          <w:sz w:val="24"/>
          <w:lang w:val="en-US" w:eastAsia="zh-CN"/>
        </w:rPr>
      </w:pPr>
      <w:r>
        <w:rPr>
          <w:sz w:val="24"/>
        </w:rPr>
        <w:tab/>
      </w:r>
      <w:r>
        <w:rPr>
          <w:sz w:val="24"/>
        </w:rPr>
        <w:t>（三） 题型比例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>简答题</w:t>
      </w:r>
      <w:r>
        <w:rPr>
          <w:sz w:val="24"/>
        </w:rPr>
        <w:t>约</w:t>
      </w:r>
      <w:r>
        <w:rPr>
          <w:rFonts w:hint="eastAsia"/>
          <w:sz w:val="24"/>
          <w:lang w:val="en-US" w:eastAsia="zh-CN"/>
        </w:rPr>
        <w:t>20</w:t>
      </w:r>
      <w:r>
        <w:rPr>
          <w:sz w:val="24"/>
        </w:rPr>
        <w:t>%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sz w:val="24"/>
          <w:lang w:val="en-US" w:eastAsia="zh-CN"/>
        </w:rPr>
        <w:t>论述题</w:t>
      </w:r>
      <w:r>
        <w:rPr>
          <w:sz w:val="24"/>
        </w:rPr>
        <w:t>约</w:t>
      </w:r>
      <w:r>
        <w:rPr>
          <w:rFonts w:hint="eastAsia"/>
          <w:sz w:val="24"/>
          <w:lang w:val="en-US" w:eastAsia="zh-CN"/>
        </w:rPr>
        <w:t>60</w:t>
      </w:r>
      <w:r>
        <w:rPr>
          <w:sz w:val="24"/>
        </w:rPr>
        <w:t>%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sz w:val="24"/>
          <w:lang w:val="en-US" w:eastAsia="zh-CN"/>
        </w:rPr>
        <w:t>案例分析题</w:t>
      </w:r>
      <w:r>
        <w:rPr>
          <w:sz w:val="24"/>
        </w:rPr>
        <w:t>约</w:t>
      </w:r>
      <w:r>
        <w:rPr>
          <w:rFonts w:hint="eastAsia"/>
          <w:sz w:val="24"/>
          <w:lang w:val="en-US" w:eastAsia="zh-CN"/>
        </w:rPr>
        <w:t>20</w:t>
      </w:r>
      <w:r>
        <w:rPr>
          <w:sz w:val="24"/>
        </w:rPr>
        <w:t>%</w:t>
      </w:r>
      <w:r>
        <w:rPr>
          <w:rFonts w:hint="eastAsia"/>
          <w:sz w:val="24"/>
          <w:lang w:eastAsia="zh-CN"/>
        </w:rPr>
        <w:t>。</w:t>
      </w:r>
    </w:p>
    <w:p>
      <w:pPr>
        <w:spacing w:line="360" w:lineRule="auto"/>
        <w:rPr>
          <w:sz w:val="24"/>
        </w:rPr>
      </w:pPr>
      <w:r>
        <w:rPr>
          <w:sz w:val="24"/>
        </w:rPr>
        <w:tab/>
      </w:r>
    </w:p>
    <w:p>
      <w:pPr>
        <w:spacing w:line="360" w:lineRule="auto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第二部分 考试要点</w:t>
      </w:r>
    </w:p>
    <w:p>
      <w:pPr>
        <w:spacing w:line="360" w:lineRule="auto"/>
        <w:ind w:firstLine="482" w:firstLineChars="200"/>
        <w:rPr>
          <w:rFonts w:hint="eastAsia"/>
          <w:b/>
          <w:bCs/>
          <w:sz w:val="24"/>
          <w:lang w:val="en-US" w:eastAsia="zh-CN"/>
        </w:rPr>
      </w:pPr>
      <w:r>
        <w:rPr>
          <w:b/>
          <w:bCs/>
          <w:sz w:val="24"/>
        </w:rPr>
        <w:t>一、教育</w:t>
      </w:r>
      <w:r>
        <w:rPr>
          <w:rFonts w:hint="eastAsia"/>
          <w:b/>
          <w:bCs/>
          <w:sz w:val="24"/>
          <w:lang w:val="en-US" w:eastAsia="zh-CN"/>
        </w:rPr>
        <w:t>管理和教育管理学</w:t>
      </w:r>
    </w:p>
    <w:p>
      <w:pPr>
        <w:spacing w:line="360" w:lineRule="auto"/>
        <w:ind w:firstLine="480" w:firstLineChars="200"/>
        <w:rPr>
          <w:rFonts w:hint="default"/>
          <w:b/>
          <w:bCs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教育管理的含义、特点及趋向，教育管理与公共管理，教育管理与企业管理，教育管理学的性质与方法体系，教育管理学的历史发展及趋势，等等。</w:t>
      </w:r>
    </w:p>
    <w:p>
      <w:pPr>
        <w:numPr>
          <w:ilvl w:val="0"/>
          <w:numId w:val="1"/>
        </w:numPr>
        <w:spacing w:line="360" w:lineRule="auto"/>
        <w:ind w:left="420" w:leftChars="0" w:firstLine="0" w:firstLineChars="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教育管理的理论基础</w:t>
      </w:r>
    </w:p>
    <w:p>
      <w:pPr>
        <w:spacing w:line="360" w:lineRule="auto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教育管理活动的哲学思考，教育管理活动的社会学意义，教育管理活动的心理学支持，教育管理活动的经济基础，教育管理活动的组织与领导，等等。</w:t>
      </w:r>
    </w:p>
    <w:p>
      <w:pPr>
        <w:numPr>
          <w:ilvl w:val="0"/>
          <w:numId w:val="1"/>
        </w:numPr>
        <w:spacing w:line="360" w:lineRule="auto"/>
        <w:ind w:left="420" w:leftChars="0" w:firstLine="0" w:firstLineChars="0"/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教育管理的历史演进</w:t>
      </w:r>
    </w:p>
    <w:p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  <w:lang w:val="en-US" w:eastAsia="zh-CN"/>
        </w:rPr>
        <w:t xml:space="preserve">    </w:t>
      </w:r>
      <w:r>
        <w:rPr>
          <w:rFonts w:hint="eastAsia"/>
          <w:sz w:val="24"/>
          <w:lang w:val="en-US" w:eastAsia="zh-CN"/>
        </w:rPr>
        <w:t>中外历史上的主要教育管理思想，后现代主义教育管理思想，学校教育的全面质量管理思想，以共同价值观治校的教育管理思想，等等。</w:t>
      </w:r>
    </w:p>
    <w:p>
      <w:pPr>
        <w:spacing w:line="360" w:lineRule="auto"/>
        <w:rPr>
          <w:rFonts w:hint="default" w:eastAsia="宋体"/>
          <w:b/>
          <w:bCs/>
          <w:sz w:val="24"/>
          <w:lang w:val="en-US" w:eastAsia="zh-CN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>三、</w:t>
      </w:r>
      <w:r>
        <w:rPr>
          <w:rFonts w:hint="eastAsia"/>
          <w:b/>
          <w:bCs/>
          <w:sz w:val="24"/>
          <w:lang w:val="en-US" w:eastAsia="zh-CN"/>
        </w:rPr>
        <w:t>教育行政的理论与实践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教育行政的概念、特点及原则，教育资源配置，中央集权型与地方分权型教育管理体制，教育政策的制定、实施与评价，转变中的我国教育管理体制，我国现行教育督导制度，我国“二级管理、三级办学”的高等教育管理体制，等等</w:t>
      </w:r>
      <w:r>
        <w:rPr>
          <w:sz w:val="24"/>
        </w:rPr>
        <w:t>。</w:t>
      </w:r>
    </w:p>
    <w:p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>四、</w:t>
      </w:r>
      <w:r>
        <w:rPr>
          <w:rFonts w:hint="eastAsia"/>
          <w:b/>
          <w:bCs/>
          <w:sz w:val="24"/>
          <w:lang w:val="en-US" w:eastAsia="zh-CN"/>
        </w:rPr>
        <w:t>学校管理的理论与实践</w:t>
      </w:r>
    </w:p>
    <w:p>
      <w:pPr>
        <w:spacing w:line="360" w:lineRule="auto"/>
        <w:rPr>
          <w:rFonts w:hint="default"/>
          <w:sz w:val="24"/>
          <w:lang w:val="en-US" w:eastAsia="zh-CN"/>
        </w:rPr>
      </w:pP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学校管理的组织理论，学校领导的特质与管理风格，学校与教师的课程管理，教师工作绩效评价，课堂中常见的教学管理问题及其成因，高校战略管理，在我国高校推进院校研究的意义与路径，等等。</w:t>
      </w:r>
    </w:p>
    <w:p>
      <w:pPr>
        <w:spacing w:line="360" w:lineRule="auto"/>
        <w:rPr>
          <w:sz w:val="24"/>
        </w:rPr>
      </w:pPr>
      <w:r>
        <w:rPr>
          <w:sz w:val="24"/>
        </w:rPr>
        <w:tab/>
      </w:r>
    </w:p>
    <w:p>
      <w:pPr>
        <w:spacing w:line="360" w:lineRule="auto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第三部分 考试样题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一、</w:t>
      </w:r>
      <w:r>
        <w:rPr>
          <w:rFonts w:hint="eastAsia" w:ascii="宋体" w:hAnsi="宋体"/>
          <w:b/>
          <w:bCs/>
          <w:sz w:val="24"/>
          <w:lang w:eastAsia="zh-CN"/>
        </w:rPr>
        <w:t>简答</w:t>
      </w:r>
      <w:r>
        <w:rPr>
          <w:rFonts w:hint="eastAsia" w:ascii="宋体" w:hAnsi="宋体"/>
          <w:b/>
          <w:bCs/>
          <w:sz w:val="24"/>
          <w:lang w:val="en-US" w:eastAsia="zh-CN"/>
        </w:rPr>
        <w:t>题示例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教育集权制有哪些优缺点？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二、论述题示例</w:t>
      </w:r>
    </w:p>
    <w:p>
      <w:pPr>
        <w:numPr>
          <w:ilvl w:val="0"/>
          <w:numId w:val="0"/>
        </w:numPr>
        <w:spacing w:line="324" w:lineRule="auto"/>
        <w:ind w:firstLine="480" w:firstLineChars="200"/>
        <w:jc w:val="left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请列举三篇（本）或以上的教育管理学论文或书籍，并从中选择一篇论文或一本书籍，对其内容予以论述。</w:t>
      </w:r>
    </w:p>
    <w:p>
      <w:pPr>
        <w:spacing w:line="360" w:lineRule="auto"/>
        <w:ind w:firstLine="482" w:firstLineChars="200"/>
        <w:rPr>
          <w:rFonts w:hint="default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三、案例分析题示例</w:t>
      </w:r>
    </w:p>
    <w:p>
      <w:pPr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1.案例</w:t>
      </w:r>
    </w:p>
    <w:p>
      <w:pPr>
        <w:numPr>
          <w:ilvl w:val="0"/>
          <w:numId w:val="0"/>
        </w:numPr>
        <w:spacing w:line="324" w:lineRule="auto"/>
        <w:ind w:firstLine="480" w:firstLineChars="200"/>
        <w:jc w:val="left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某校一名青年教师，个性张扬，颇有主张，课堂教学生动，教学效果不错。学生问卷调查结果显示，他的教学受欢迎程度高，但使用旧备课本，不写反思，少有二次备课痕迹，作业自称为当堂作业，没有工整漂亮的练习本以供检查，按照检查的量化表打分很低。另有一名教师，给人的印象是特别认真：作业工整漂亮，备课手写，上面圈画勾点以及反思齐全。但仔细一瞧，有点形式大于内容；进堂听课，教学效率偏低；学生问卷调查结果也不如前者。</w:t>
      </w:r>
    </w:p>
    <w:p>
      <w:pPr>
        <w:spacing w:line="324" w:lineRule="auto"/>
        <w:ind w:firstLine="481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评定等级时，大家意见出现了分歧：一方认为，按“以生为本，以效为先”的原则判断，前者优于后者，前者应评为优等。另一方则认为，高境界的管理是制度化管理。前者的做法虽然效果不错但属于个案，可以特例特办，评为优等,不过从管理的角度看，其做法对于教师群体不具备普遍性；后者按照“促进学校教学常规规范化、教师专业发展落实化”的准则而工作，虽然暂时存在不足，但只要适时指导，优秀指日可待。因此，无论从个人发展的角度，还是从管理导向的角度出发，后者应该评为优等。</w:t>
      </w:r>
    </w:p>
    <w:p>
      <w:pPr>
        <w:numPr>
          <w:ilvl w:val="0"/>
          <w:numId w:val="2"/>
        </w:numPr>
        <w:spacing w:line="324" w:lineRule="auto"/>
        <w:ind w:left="0" w:leftChars="0" w:firstLine="481" w:firstLineChars="0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分析</w:t>
      </w:r>
    </w:p>
    <w:p>
      <w:pPr>
        <w:numPr>
          <w:ilvl w:val="0"/>
          <w:numId w:val="0"/>
        </w:numPr>
        <w:spacing w:line="324" w:lineRule="auto"/>
        <w:ind w:firstLine="480" w:firstLineChars="200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你如何看待以上双方的观点与分歧？为解决好以上分歧，你认为学校的教学管理制度建设应该遵循怎样的原则？</w:t>
      </w:r>
      <w:bookmarkStart w:id="0" w:name="_GoBack"/>
      <w:bookmarkEnd w:id="0"/>
    </w:p>
    <w:p>
      <w:pPr>
        <w:rPr>
          <w:rFonts w:hint="default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B6F4"/>
    <w:multiLevelType w:val="singleLevel"/>
    <w:tmpl w:val="1D20B6F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80581D9"/>
    <w:multiLevelType w:val="singleLevel"/>
    <w:tmpl w:val="380581D9"/>
    <w:lvl w:ilvl="0" w:tentative="0">
      <w:start w:val="2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A2765"/>
    <w:rsid w:val="0075704D"/>
    <w:rsid w:val="02D95D05"/>
    <w:rsid w:val="117621E1"/>
    <w:rsid w:val="184B7F54"/>
    <w:rsid w:val="345A2765"/>
    <w:rsid w:val="3CCA2D63"/>
    <w:rsid w:val="62D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2019-09-19T01:51:00Z</dcterms:created>
  <dc:creator>leiho</dc:creator>
  <cp:lastModifiedBy>leiho</cp:lastModifiedBy>
  <dcterms:modified xsi:type="dcterms:W3CDTF">2019-09-19T02:54:51Z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