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color w:val="000000" w:themeColor="text1"/>
          <w:sz w:val="36"/>
          <w:szCs w:val="36"/>
          <w14:textFill>
            <w14:solidFill>
              <w14:schemeClr w14:val="tx1"/>
            </w14:solidFill>
          </w14:textFill>
        </w:rPr>
      </w:pPr>
      <w:bookmarkStart w:id="0" w:name="_GoBack"/>
      <w:bookmarkEnd w:id="0"/>
      <w:r>
        <w:rPr>
          <w:rFonts w:eastAsia="黑体"/>
          <w:color w:val="000000" w:themeColor="text1"/>
          <w:sz w:val="36"/>
          <w:szCs w:val="36"/>
          <w14:textFill>
            <w14:solidFill>
              <w14:schemeClr w14:val="tx1"/>
            </w14:solidFill>
          </w14:textFill>
        </w:rPr>
        <w:t>作物育种学考试大纲</w:t>
      </w:r>
    </w:p>
    <w:p>
      <w:pPr>
        <w:jc w:val="center"/>
        <w:rPr>
          <w:color w:val="000000" w:themeColor="text1"/>
          <w14:textFill>
            <w14:solidFill>
              <w14:schemeClr w14:val="tx1"/>
            </w14:solidFill>
          </w14:textFill>
        </w:rPr>
      </w:pPr>
    </w:p>
    <w:p>
      <w:pPr>
        <w:rPr>
          <w:rFonts w:eastAsia="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Ⅰ</w:t>
      </w:r>
      <w:r>
        <w:rPr>
          <w:rFonts w:eastAsia="黑体"/>
          <w:color w:val="000000" w:themeColor="text1"/>
          <w14:textFill>
            <w14:solidFill>
              <w14:schemeClr w14:val="tx1"/>
            </w14:solidFill>
          </w14:textFill>
        </w:rPr>
        <w:t>.考试性质</w:t>
      </w:r>
    </w:p>
    <w:p>
      <w:pPr>
        <w:rPr>
          <w:color w:val="000000" w:themeColor="text1"/>
          <w14:textFill>
            <w14:solidFill>
              <w14:schemeClr w14:val="tx1"/>
            </w14:solidFill>
          </w14:textFill>
        </w:rPr>
      </w:pPr>
      <w:r>
        <w:rPr>
          <w:color w:val="000000" w:themeColor="text1"/>
          <w14:textFill>
            <w14:solidFill>
              <w14:schemeClr w14:val="tx1"/>
            </w14:solidFill>
          </w14:textFill>
        </w:rPr>
        <w:t>　 　作物育种学理论考试是为高等院校和科研院所农业硕士专业学位农艺与种业领域招收硕士研究生而设置的具有选拔性质的招生考试科目，其目的是科学、公平、有效地测试考生掌握大学本科阶段作物育种学的基础理论、一般原理和育种方法的程度，以及综合运用遗传育种的理论知识和技术手段解决作物遗传改良中相关问题的能力。评价的标准是高等学校本科毕业生能达到及格或及格以上水平，以保证被录取者掌握基本的作物育种学理论与方法，并有利于各高等院校和科研院所在专业上择优选拔。</w:t>
      </w:r>
    </w:p>
    <w:p>
      <w:pPr>
        <w:rPr>
          <w:rFonts w:eastAsia="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Ⅱ</w:t>
      </w:r>
      <w:r>
        <w:rPr>
          <w:rFonts w:eastAsia="黑体"/>
          <w:color w:val="000000" w:themeColor="text1"/>
          <w14:textFill>
            <w14:solidFill>
              <w14:schemeClr w14:val="tx1"/>
            </w14:solidFill>
          </w14:textFill>
        </w:rPr>
        <w:t>.考查目标</w:t>
      </w:r>
    </w:p>
    <w:p>
      <w:pPr>
        <w:ind w:firstLine="420"/>
        <w:rPr>
          <w:color w:val="000000" w:themeColor="text1"/>
          <w14:textFill>
            <w14:solidFill>
              <w14:schemeClr w14:val="tx1"/>
            </w14:solidFill>
          </w14:textFill>
        </w:rPr>
      </w:pPr>
      <w:r>
        <w:rPr>
          <w:color w:val="000000" w:themeColor="text1"/>
          <w14:textFill>
            <w14:solidFill>
              <w14:schemeClr w14:val="tx1"/>
            </w14:solidFill>
          </w14:textFill>
        </w:rPr>
        <w:t>作物育种学考试涵盖作物的繁殖方式与品种类型、种质资源、育种目标等作物育种相关基础知识，引种和选择育种、杂交育种、回交育种、诱变育种、远缘杂交育种、倍性育种、杂种优势利用、雄性不育及其杂种品种的选育等基本的育种理论与方法，分子标记辅助选择、转基因育种等现代育种技术，作物育种理论在抗病育种和抗逆育种等具体领域的应用，作物育种的相关试验技术和品种审定与良种繁育等内容。要求考生：</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1.准确地再认或再现学科的有关知识。</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2.准确、恰当地使用本学科的专业术语，正确理解和掌握学科的有关范畴、理论和方法。</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3.运用有关原理，解释和论证某种观点，论述、评价作物育种学有关实例。</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4.运用作物育种学中相关理论与技术，论述解决作物遗传改良实际问题的方法和措施。</w:t>
      </w:r>
    </w:p>
    <w:p>
      <w:pPr>
        <w:rPr>
          <w:rFonts w:eastAsiaTheme="minorEastAsia"/>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Ⅲ</w:t>
      </w:r>
      <w:r>
        <w:rPr>
          <w:rFonts w:eastAsia="黑体"/>
          <w:color w:val="000000" w:themeColor="text1"/>
          <w14:textFill>
            <w14:solidFill>
              <w14:schemeClr w14:val="tx1"/>
            </w14:solidFill>
          </w14:textFill>
        </w:rPr>
        <w:t>.考试形式和试卷结构</w:t>
      </w:r>
    </w:p>
    <w:p>
      <w:pPr>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一、试卷满分及考试时间</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本试卷满分为150分，考试时间为180分钟。</w:t>
      </w:r>
    </w:p>
    <w:p>
      <w:pPr>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二、答题方式</w:t>
      </w:r>
    </w:p>
    <w:p>
      <w:pPr>
        <w:ind w:firstLine="420" w:firstLineChars="200"/>
        <w:rPr>
          <w:color w:val="000000" w:themeColor="text1"/>
          <w14:textFill>
            <w14:solidFill>
              <w14:schemeClr w14:val="tx1"/>
            </w14:solidFill>
          </w14:textFill>
        </w:rPr>
      </w:pPr>
      <w:r>
        <w:rPr>
          <w:color w:val="000000" w:themeColor="text1"/>
          <w14:textFill>
            <w14:solidFill>
              <w14:schemeClr w14:val="tx1"/>
            </w14:solidFill>
          </w14:textFill>
        </w:rPr>
        <w:t>答题方式为闭卷、笔试。</w:t>
      </w:r>
    </w:p>
    <w:p>
      <w:pPr>
        <w:ind w:firstLine="422" w:firstLineChars="200"/>
        <w:rPr>
          <w:b/>
          <w:color w:val="000000" w:themeColor="text1"/>
          <w14:textFill>
            <w14:solidFill>
              <w14:schemeClr w14:val="tx1"/>
            </w14:solidFill>
          </w14:textFill>
        </w:rPr>
      </w:pPr>
      <w:r>
        <w:rPr>
          <w:b/>
          <w:color w:val="000000" w:themeColor="text1"/>
          <w14:textFill>
            <w14:solidFill>
              <w14:schemeClr w14:val="tx1"/>
            </w14:solidFill>
          </w14:textFill>
        </w:rPr>
        <w:t>三、试卷题型结构</w:t>
      </w:r>
    </w:p>
    <w:p>
      <w:pPr>
        <w:ind w:left="825" w:leftChars="200" w:hanging="405" w:hangingChars="193"/>
        <w:rPr>
          <w:color w:val="000000" w:themeColor="text1"/>
          <w14:textFill>
            <w14:solidFill>
              <w14:schemeClr w14:val="tx1"/>
            </w14:solidFill>
          </w14:textFill>
        </w:rPr>
      </w:pPr>
      <w:r>
        <w:rPr>
          <w:color w:val="000000" w:themeColor="text1"/>
          <w14:textFill>
            <w14:solidFill>
              <w14:schemeClr w14:val="tx1"/>
            </w14:solidFill>
          </w14:textFill>
        </w:rPr>
        <w:t>1.名词解释30分 （共10题，每小题3分）</w:t>
      </w:r>
    </w:p>
    <w:p>
      <w:pPr>
        <w:ind w:left="825" w:leftChars="200" w:hanging="405" w:hangingChars="193"/>
        <w:rPr>
          <w:color w:val="000000" w:themeColor="text1"/>
          <w14:textFill>
            <w14:solidFill>
              <w14:schemeClr w14:val="tx1"/>
            </w14:solidFill>
          </w14:textFill>
        </w:rPr>
      </w:pPr>
      <w:r>
        <w:rPr>
          <w:color w:val="000000" w:themeColor="text1"/>
          <w14:textFill>
            <w14:solidFill>
              <w14:schemeClr w14:val="tx1"/>
            </w14:solidFill>
          </w14:textFill>
        </w:rPr>
        <w:t>2.填空题20分 （共5题，每空2分）</w:t>
      </w:r>
    </w:p>
    <w:p>
      <w:pPr>
        <w:ind w:left="825" w:leftChars="200" w:hanging="405" w:hangingChars="193"/>
        <w:rPr>
          <w:color w:val="000000" w:themeColor="text1"/>
          <w14:textFill>
            <w14:solidFill>
              <w14:schemeClr w14:val="tx1"/>
            </w14:solidFill>
          </w14:textFill>
        </w:rPr>
      </w:pPr>
      <w:r>
        <w:rPr>
          <w:color w:val="000000" w:themeColor="text1"/>
          <w14:textFill>
            <w14:solidFill>
              <w14:schemeClr w14:val="tx1"/>
            </w14:solidFill>
          </w14:textFill>
        </w:rPr>
        <w:t>3.选择题20分 （共10题，每小题2分）</w:t>
      </w:r>
    </w:p>
    <w:p>
      <w:pPr>
        <w:ind w:left="825" w:leftChars="200" w:hanging="405" w:hangingChars="193"/>
        <w:rPr>
          <w:color w:val="000000" w:themeColor="text1"/>
          <w14:textFill>
            <w14:solidFill>
              <w14:schemeClr w14:val="tx1"/>
            </w14:solidFill>
          </w14:textFill>
        </w:rPr>
      </w:pPr>
      <w:r>
        <w:rPr>
          <w:color w:val="000000" w:themeColor="text1"/>
          <w14:textFill>
            <w14:solidFill>
              <w14:schemeClr w14:val="tx1"/>
            </w14:solidFill>
          </w14:textFill>
        </w:rPr>
        <w:t>4.判断题20分（共10题，每小题2分）</w:t>
      </w:r>
    </w:p>
    <w:p>
      <w:pPr>
        <w:ind w:left="825" w:leftChars="200" w:hanging="405" w:hangingChars="193"/>
        <w:rPr>
          <w:color w:val="000000" w:themeColor="text1"/>
          <w14:textFill>
            <w14:solidFill>
              <w14:schemeClr w14:val="tx1"/>
            </w14:solidFill>
          </w14:textFill>
        </w:rPr>
      </w:pPr>
      <w:r>
        <w:rPr>
          <w:color w:val="000000" w:themeColor="text1"/>
          <w14:textFill>
            <w14:solidFill>
              <w14:schemeClr w14:val="tx1"/>
            </w14:solidFill>
          </w14:textFill>
        </w:rPr>
        <w:t>5.简答题60分 （共5题，每小题12分）</w:t>
      </w:r>
    </w:p>
    <w:p>
      <w:pPr>
        <w:rPr>
          <w:rFonts w:eastAsia="黑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Ⅳ</w:t>
      </w:r>
      <w:r>
        <w:rPr>
          <w:rFonts w:eastAsia="黑体"/>
          <w:color w:val="000000" w:themeColor="text1"/>
          <w14:textFill>
            <w14:solidFill>
              <w14:schemeClr w14:val="tx1"/>
            </w14:solidFill>
          </w14:textFill>
        </w:rPr>
        <w:t>.考查内容</w:t>
      </w: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第一章  绪论</w:t>
      </w:r>
    </w:p>
    <w:p>
      <w:pPr>
        <w:pStyle w:val="6"/>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1.作物育种学的性质和任务</w:t>
      </w:r>
    </w:p>
    <w:p>
      <w:pPr>
        <w:pStyle w:val="6"/>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2.作物育种学的主要内容</w:t>
      </w:r>
    </w:p>
    <w:p>
      <w:pPr>
        <w:pStyle w:val="6"/>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3.作物育种学与其它学科的关系</w:t>
      </w:r>
    </w:p>
    <w:p>
      <w:pPr>
        <w:pStyle w:val="6"/>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4.作物育种学的发展</w:t>
      </w:r>
    </w:p>
    <w:p>
      <w:pPr>
        <w:pStyle w:val="6"/>
        <w:spacing w:before="0" w:beforeAutospacing="0" w:after="0" w:afterAutospacing="0"/>
        <w:rPr>
          <w:rFonts w:ascii="Times New Roman" w:hAnsi="Times New Roman" w:cs="Times New Roman"/>
          <w:sz w:val="21"/>
          <w:szCs w:val="21"/>
        </w:rPr>
      </w:pPr>
      <w:r>
        <w:rPr>
          <w:rFonts w:ascii="Times New Roman" w:hAnsi="Times New Roman" w:cs="Times New Roman"/>
          <w:sz w:val="21"/>
          <w:szCs w:val="21"/>
        </w:rPr>
        <w:t>5.遗传改良在作物生产发展中的作用</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6.植物品种的概念、类型以及在农业生产中的重要作用</w:t>
      </w:r>
    </w:p>
    <w:p>
      <w:pPr>
        <w:widowControl/>
        <w:rPr>
          <w:bCs/>
          <w:color w:val="000000"/>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第二章　作物的繁殖方式与品种类型</w:t>
      </w:r>
    </w:p>
    <w:p>
      <w:pPr>
        <w:rPr>
          <w:szCs w:val="21"/>
        </w:rPr>
      </w:pPr>
      <w:r>
        <w:rPr>
          <w:szCs w:val="21"/>
        </w:rPr>
        <w:t>第一节　作物的繁殖方式</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1.有性繁殖</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2.无性繁殖</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3.有性繁殖的主要授粉方式</w:t>
      </w:r>
    </w:p>
    <w:p>
      <w:pPr>
        <w:rPr>
          <w:szCs w:val="21"/>
        </w:rPr>
      </w:pPr>
      <w:r>
        <w:rPr>
          <w:szCs w:val="21"/>
        </w:rPr>
        <w:t>第二节　自交和异交的遗传效应</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1.自交的遗传效应</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2.异交的遗传效应</w:t>
      </w:r>
    </w:p>
    <w:p>
      <w:pPr>
        <w:rPr>
          <w:szCs w:val="21"/>
        </w:rPr>
      </w:pPr>
      <w:r>
        <w:rPr>
          <w:szCs w:val="21"/>
        </w:rPr>
        <w:t>第三节　作物品种的类型及其特点</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1.作物品种的类型</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2.各类品种的育种特点</w:t>
      </w:r>
    </w:p>
    <w:p>
      <w:pPr>
        <w:widowControl/>
        <w:ind w:firstLine="315" w:firstLineChars="150"/>
        <w:rPr>
          <w:bCs/>
          <w:color w:val="000000"/>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第三章　  种质资源</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 xml:space="preserve">第一节 种质资源在育种上的重要性 </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1.种质资源的概念</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2.种质资源在作物育种工作中的重要性</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第二节 作物起源中心学说及其发展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1.瓦维洛夫的作物起源中心学说</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2.作物起源中心学说的发展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3.作物起源中心学说对作物种质资源工作的指导意义</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第三节 种质资源的研究与利用</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1.种质资源的类别及特点</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2.种质资源的收集与保存</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3.种质资源的研究与利用</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第四节　电子计算机在种质资源管理中的应用</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1.国外植物种质资源数据库概况</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2.种质资源数据库的目标与功能</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3.种质资源数据库的建立</w:t>
      </w:r>
    </w:p>
    <w:p>
      <w:pPr>
        <w:pStyle w:val="6"/>
        <w:spacing w:before="0" w:beforeAutospacing="0" w:after="0" w:afterAutospacing="0"/>
        <w:ind w:firstLine="525" w:firstLineChars="249"/>
        <w:jc w:val="both"/>
        <w:rPr>
          <w:rFonts w:ascii="Times New Roman" w:hAnsi="Times New Roman" w:cs="Times New Roman"/>
          <w:b/>
          <w:color w:val="000000"/>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第四章　育种目标</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第一节　现代农业对作物品种的要求</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1.高产</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2.稳产</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3.优质</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4.适应机械化</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第二节　制订作物育种目标的原则</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1.符合国民经济发展的需要；</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2.根据生产实际，对现有品种某些主要性状进行改良；</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3.育种目标的具体化和可行性</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4.品种的合理搭配。</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第三节　作物育种的主要目标</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1.高产</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2.稳产</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3.优质</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4.适应机械化</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5.生育期适宜</w:t>
      </w:r>
    </w:p>
    <w:p>
      <w:pPr>
        <w:pStyle w:val="6"/>
        <w:spacing w:before="0" w:beforeAutospacing="0" w:after="0" w:afterAutospacing="0"/>
        <w:jc w:val="both"/>
        <w:rPr>
          <w:rFonts w:ascii="Times New Roman" w:hAnsi="Times New Roman" w:cs="Times New Roman"/>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第五章　引种和选择育种</w:t>
      </w:r>
    </w:p>
    <w:p>
      <w:pPr>
        <w:rPr>
          <w:szCs w:val="21"/>
        </w:rPr>
      </w:pPr>
      <w:r>
        <w:rPr>
          <w:szCs w:val="21"/>
        </w:rPr>
        <w:t>第一节　引种和驯化</w:t>
      </w:r>
    </w:p>
    <w:p>
      <w:pPr>
        <w:ind w:firstLine="105" w:firstLineChars="50"/>
        <w:rPr>
          <w:szCs w:val="21"/>
        </w:rPr>
      </w:pPr>
      <w:r>
        <w:rPr>
          <w:szCs w:val="21"/>
        </w:rPr>
        <w:t>1.引种驯化的基本原理</w:t>
      </w:r>
    </w:p>
    <w:p>
      <w:pPr>
        <w:rPr>
          <w:szCs w:val="21"/>
        </w:rPr>
      </w:pPr>
      <w:r>
        <w:rPr>
          <w:szCs w:val="21"/>
        </w:rPr>
        <w:t>（1）作物的生态环境和生态类型</w:t>
      </w:r>
    </w:p>
    <w:p>
      <w:pPr>
        <w:rPr>
          <w:szCs w:val="21"/>
        </w:rPr>
      </w:pPr>
      <w:r>
        <w:rPr>
          <w:szCs w:val="21"/>
        </w:rPr>
        <w:t>（2）气候相似论</w:t>
      </w:r>
    </w:p>
    <w:p>
      <w:pPr>
        <w:rPr>
          <w:szCs w:val="21"/>
        </w:rPr>
      </w:pPr>
      <w:r>
        <w:rPr>
          <w:szCs w:val="21"/>
        </w:rPr>
        <w:t>（3）纬度</w:t>
      </w:r>
      <w:r>
        <w:rPr>
          <w:rFonts w:eastAsia="MS Mincho"/>
          <w:szCs w:val="21"/>
        </w:rPr>
        <w:t>､</w:t>
      </w:r>
      <w:r>
        <w:rPr>
          <w:szCs w:val="21"/>
        </w:rPr>
        <w:t>海拔</w:t>
      </w:r>
      <w:r>
        <w:rPr>
          <w:rFonts w:eastAsia="MS Mincho"/>
          <w:szCs w:val="21"/>
        </w:rPr>
        <w:t>､</w:t>
      </w:r>
      <w:r>
        <w:rPr>
          <w:szCs w:val="21"/>
        </w:rPr>
        <w:t>品种习性与引种的关系</w:t>
      </w:r>
    </w:p>
    <w:p>
      <w:pPr>
        <w:ind w:firstLine="105" w:firstLineChars="50"/>
        <w:rPr>
          <w:szCs w:val="21"/>
        </w:rPr>
      </w:pPr>
      <w:r>
        <w:rPr>
          <w:szCs w:val="21"/>
        </w:rPr>
        <w:t>2.作物引种规律</w:t>
      </w:r>
    </w:p>
    <w:p>
      <w:pPr>
        <w:rPr>
          <w:szCs w:val="21"/>
        </w:rPr>
      </w:pPr>
      <w:r>
        <w:rPr>
          <w:szCs w:val="21"/>
        </w:rPr>
        <w:t>（1）低温长日性作物的引种规律</w:t>
      </w:r>
    </w:p>
    <w:p>
      <w:pPr>
        <w:rPr>
          <w:szCs w:val="21"/>
        </w:rPr>
      </w:pPr>
      <w:r>
        <w:rPr>
          <w:szCs w:val="21"/>
        </w:rPr>
        <w:t>（2）高温短日性作物的引种规律</w:t>
      </w:r>
    </w:p>
    <w:p>
      <w:pPr>
        <w:rPr>
          <w:szCs w:val="21"/>
        </w:rPr>
      </w:pPr>
      <w:r>
        <w:rPr>
          <w:szCs w:val="21"/>
        </w:rPr>
        <w:t>（3）作物对环境反应的敏感度与引种</w:t>
      </w:r>
    </w:p>
    <w:p>
      <w:pPr>
        <w:rPr>
          <w:szCs w:val="21"/>
        </w:rPr>
      </w:pPr>
      <w:r>
        <w:rPr>
          <w:szCs w:val="21"/>
        </w:rPr>
        <w:t>（4）引种的工作环节</w:t>
      </w:r>
    </w:p>
    <w:p>
      <w:pPr>
        <w:rPr>
          <w:szCs w:val="21"/>
        </w:rPr>
      </w:pPr>
      <w:r>
        <w:rPr>
          <w:szCs w:val="21"/>
        </w:rPr>
        <w:t>第二节   选择育种</w:t>
      </w:r>
    </w:p>
    <w:p>
      <w:pPr>
        <w:rPr>
          <w:szCs w:val="21"/>
        </w:rPr>
      </w:pPr>
      <w:r>
        <w:rPr>
          <w:szCs w:val="21"/>
        </w:rPr>
        <w:t>1.作物品种群体中的遗传变异及其利用</w:t>
      </w:r>
    </w:p>
    <w:p>
      <w:pPr>
        <w:rPr>
          <w:szCs w:val="21"/>
        </w:rPr>
      </w:pPr>
      <w:r>
        <w:rPr>
          <w:szCs w:val="21"/>
        </w:rPr>
        <w:t>（1）出现自然变异的原因</w:t>
      </w:r>
    </w:p>
    <w:p>
      <w:pPr>
        <w:rPr>
          <w:szCs w:val="21"/>
        </w:rPr>
      </w:pPr>
      <w:r>
        <w:rPr>
          <w:szCs w:val="21"/>
        </w:rPr>
        <w:t>（2）自然变异在育种上的利用</w:t>
      </w:r>
    </w:p>
    <w:p>
      <w:pPr>
        <w:rPr>
          <w:szCs w:val="21"/>
        </w:rPr>
      </w:pPr>
      <w:r>
        <w:rPr>
          <w:szCs w:val="21"/>
        </w:rPr>
        <w:t>2.性状鉴定与选择</w:t>
      </w:r>
    </w:p>
    <w:p>
      <w:pPr>
        <w:rPr>
          <w:szCs w:val="21"/>
        </w:rPr>
      </w:pPr>
      <w:r>
        <w:rPr>
          <w:szCs w:val="21"/>
        </w:rPr>
        <w:t>3.纯系学说与纯系育种</w:t>
      </w:r>
    </w:p>
    <w:p>
      <w:pPr>
        <w:rPr>
          <w:szCs w:val="21"/>
        </w:rPr>
      </w:pPr>
      <w:r>
        <w:rPr>
          <w:szCs w:val="21"/>
        </w:rPr>
        <w:t>（1）纯系学说</w:t>
      </w:r>
    </w:p>
    <w:p>
      <w:pPr>
        <w:rPr>
          <w:szCs w:val="21"/>
        </w:rPr>
      </w:pPr>
      <w:r>
        <w:rPr>
          <w:szCs w:val="21"/>
        </w:rPr>
        <w:t>（2）纯系育种的历史发展与成就</w:t>
      </w:r>
    </w:p>
    <w:p>
      <w:pPr>
        <w:rPr>
          <w:szCs w:val="21"/>
        </w:rPr>
      </w:pPr>
      <w:r>
        <w:rPr>
          <w:szCs w:val="21"/>
        </w:rPr>
        <w:t>4.混合选择与混合选择育种</w:t>
      </w:r>
    </w:p>
    <w:p>
      <w:pPr>
        <w:rPr>
          <w:szCs w:val="21"/>
        </w:rPr>
      </w:pPr>
      <w:r>
        <w:rPr>
          <w:szCs w:val="21"/>
        </w:rPr>
        <w:t>（1）混合选择与群体改良</w:t>
      </w:r>
    </w:p>
    <w:p>
      <w:pPr>
        <w:rPr>
          <w:szCs w:val="21"/>
        </w:rPr>
      </w:pPr>
      <w:r>
        <w:rPr>
          <w:szCs w:val="21"/>
        </w:rPr>
        <w:t>（2）混合选择育种的应用价值</w:t>
      </w:r>
    </w:p>
    <w:p>
      <w:pPr>
        <w:rPr>
          <w:szCs w:val="21"/>
        </w:rPr>
      </w:pPr>
      <w:r>
        <w:rPr>
          <w:szCs w:val="21"/>
        </w:rPr>
        <w:t>5.选择育种的程序</w:t>
      </w:r>
    </w:p>
    <w:p>
      <w:pPr>
        <w:rPr>
          <w:szCs w:val="21"/>
        </w:rPr>
      </w:pPr>
      <w:r>
        <w:rPr>
          <w:szCs w:val="21"/>
        </w:rPr>
        <w:t>（1）纯系育种程序</w:t>
      </w:r>
    </w:p>
    <w:p>
      <w:pPr>
        <w:rPr>
          <w:szCs w:val="21"/>
        </w:rPr>
      </w:pPr>
      <w:r>
        <w:rPr>
          <w:szCs w:val="21"/>
        </w:rPr>
        <w:t>（2）混合选择育种程序</w:t>
      </w:r>
    </w:p>
    <w:p>
      <w:pPr>
        <w:rPr>
          <w:szCs w:val="21"/>
        </w:rPr>
      </w:pPr>
      <w:r>
        <w:rPr>
          <w:szCs w:val="21"/>
        </w:rPr>
        <w:t>（3）集团混合选择育种程序</w:t>
      </w:r>
    </w:p>
    <w:p>
      <w:pPr>
        <w:rPr>
          <w:szCs w:val="21"/>
        </w:rPr>
      </w:pPr>
      <w:r>
        <w:rPr>
          <w:szCs w:val="21"/>
        </w:rPr>
        <w:t>（4）改良混合选择育种</w:t>
      </w:r>
    </w:p>
    <w:p>
      <w:pPr>
        <w:pStyle w:val="6"/>
        <w:spacing w:before="0" w:beforeAutospacing="0" w:after="0" w:afterAutospacing="0"/>
        <w:jc w:val="both"/>
        <w:rPr>
          <w:rFonts w:ascii="Times New Roman" w:hAnsi="Times New Roman" w:cs="Times New Roman"/>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第六章　杂交育种</w:t>
      </w:r>
    </w:p>
    <w:p>
      <w:pPr>
        <w:rPr>
          <w:szCs w:val="21"/>
        </w:rPr>
      </w:pPr>
      <w:r>
        <w:rPr>
          <w:szCs w:val="21"/>
        </w:rPr>
        <w:t>第一节　杂交育种的概念和意义</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1.杂交育种的历史与发展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2.杂交育种的概念</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3.杂交育种的特点</w:t>
      </w:r>
    </w:p>
    <w:p>
      <w:pPr>
        <w:rPr>
          <w:szCs w:val="21"/>
        </w:rPr>
      </w:pPr>
      <w:r>
        <w:rPr>
          <w:szCs w:val="21"/>
        </w:rPr>
        <w:t>第二节　杂交亲本选配</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1.亲本的选配的重要意义</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2.亲本选配的原则</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3.当前杂交育种亲本选配中存在的问题</w:t>
      </w:r>
    </w:p>
    <w:p>
      <w:pPr>
        <w:rPr>
          <w:szCs w:val="21"/>
        </w:rPr>
      </w:pPr>
      <w:r>
        <w:rPr>
          <w:szCs w:val="21"/>
        </w:rPr>
        <w:t>第三节　杂交方式和技术</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1.杂交方式，包括单交、复交、回交、多父本授粉和聚合杂交</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2.杂交技术，包括调节开花期使花期相遇、控制授粉和授粉后的管理</w:t>
      </w:r>
    </w:p>
    <w:p>
      <w:pPr>
        <w:rPr>
          <w:szCs w:val="21"/>
        </w:rPr>
      </w:pPr>
      <w:r>
        <w:rPr>
          <w:szCs w:val="21"/>
        </w:rPr>
        <w:t>第四节　杂种后代的处理</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1.系谱法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2.混合法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3.衍生系统法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4.单籽粒传法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5.集团混合法</w:t>
      </w:r>
    </w:p>
    <w:p>
      <w:pPr>
        <w:rPr>
          <w:szCs w:val="21"/>
        </w:rPr>
      </w:pPr>
      <w:r>
        <w:rPr>
          <w:szCs w:val="21"/>
        </w:rPr>
        <w:t>第五节　杂交育种程序和加速育种进程的方法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1.杂交育种的程序</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2.加速育种进程的方法:包括加速世代进程、加速试验进程和利用单倍体等方法。</w:t>
      </w:r>
    </w:p>
    <w:p>
      <w:pPr>
        <w:pStyle w:val="6"/>
        <w:spacing w:before="0" w:beforeAutospacing="0" w:after="0" w:afterAutospacing="0"/>
        <w:jc w:val="both"/>
        <w:rPr>
          <w:rFonts w:ascii="Times New Roman" w:hAnsi="Times New Roman" w:cs="Times New Roman"/>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第七章　回交育种</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第一节 回交育种的意义及遗传效应</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第二节 回交育种方法</w:t>
      </w:r>
    </w:p>
    <w:p>
      <w:pPr>
        <w:pStyle w:val="6"/>
        <w:spacing w:before="0" w:beforeAutospacing="0" w:after="0" w:afterAutospacing="0"/>
        <w:ind w:left="359" w:leftChars="171"/>
        <w:jc w:val="both"/>
        <w:rPr>
          <w:rFonts w:hint="eastAsia" w:ascii="Times New Roman" w:hAnsi="Times New Roman" w:cs="Times New Roman"/>
          <w:sz w:val="21"/>
          <w:szCs w:val="21"/>
        </w:rPr>
      </w:pPr>
      <w:r>
        <w:rPr>
          <w:rFonts w:hint="eastAsia" w:ascii="Times New Roman" w:hAnsi="Times New Roman" w:cs="Times New Roman"/>
          <w:sz w:val="21"/>
          <w:szCs w:val="21"/>
        </w:rPr>
        <w:t>1.亲本的选择</w:t>
      </w:r>
    </w:p>
    <w:p>
      <w:pPr>
        <w:pStyle w:val="6"/>
        <w:spacing w:before="0" w:beforeAutospacing="0" w:after="0" w:afterAutospacing="0"/>
        <w:ind w:left="359" w:leftChars="171"/>
        <w:jc w:val="both"/>
        <w:rPr>
          <w:rFonts w:hint="eastAsia" w:ascii="Times New Roman" w:hAnsi="Times New Roman" w:cs="Times New Roman"/>
          <w:sz w:val="21"/>
          <w:szCs w:val="21"/>
        </w:rPr>
      </w:pPr>
      <w:r>
        <w:rPr>
          <w:rFonts w:hint="eastAsia" w:ascii="Times New Roman" w:hAnsi="Times New Roman" w:cs="Times New Roman"/>
          <w:sz w:val="21"/>
          <w:szCs w:val="21"/>
        </w:rPr>
        <w:t>2.回交后代的选择</w:t>
      </w:r>
    </w:p>
    <w:p>
      <w:pPr>
        <w:pStyle w:val="6"/>
        <w:spacing w:before="0" w:beforeAutospacing="0" w:after="0" w:afterAutospacing="0"/>
        <w:ind w:left="359" w:leftChars="171"/>
        <w:jc w:val="both"/>
        <w:rPr>
          <w:rFonts w:hint="eastAsia" w:ascii="Times New Roman" w:hAnsi="Times New Roman" w:cs="Times New Roman"/>
          <w:sz w:val="21"/>
          <w:szCs w:val="21"/>
        </w:rPr>
      </w:pPr>
      <w:r>
        <w:rPr>
          <w:rFonts w:hint="eastAsia" w:ascii="Times New Roman" w:hAnsi="Times New Roman" w:cs="Times New Roman"/>
          <w:sz w:val="21"/>
          <w:szCs w:val="21"/>
        </w:rPr>
        <w:t>3.回交的次数</w:t>
      </w:r>
    </w:p>
    <w:p>
      <w:pPr>
        <w:pStyle w:val="6"/>
        <w:spacing w:before="0" w:beforeAutospacing="0" w:after="0" w:afterAutospacing="0"/>
        <w:ind w:left="359" w:leftChars="171"/>
        <w:jc w:val="both"/>
        <w:rPr>
          <w:rFonts w:hint="eastAsia" w:ascii="Times New Roman" w:hAnsi="Times New Roman" w:cs="Times New Roman"/>
          <w:sz w:val="21"/>
          <w:szCs w:val="21"/>
        </w:rPr>
      </w:pPr>
      <w:r>
        <w:rPr>
          <w:rFonts w:hint="eastAsia" w:ascii="Times New Roman" w:hAnsi="Times New Roman" w:cs="Times New Roman"/>
          <w:sz w:val="21"/>
          <w:szCs w:val="21"/>
        </w:rPr>
        <w:t>4.回交所需的植株数</w:t>
      </w:r>
    </w:p>
    <w:p>
      <w:pPr>
        <w:pStyle w:val="6"/>
        <w:spacing w:before="0" w:beforeAutospacing="0" w:after="0" w:afterAutospacing="0"/>
        <w:ind w:left="359" w:leftChars="171"/>
        <w:jc w:val="both"/>
        <w:rPr>
          <w:rFonts w:hint="eastAsia" w:ascii="Times New Roman" w:hAnsi="Times New Roman" w:cs="Times New Roman"/>
          <w:sz w:val="21"/>
          <w:szCs w:val="21"/>
        </w:rPr>
      </w:pPr>
      <w:r>
        <w:rPr>
          <w:rFonts w:hint="eastAsia" w:ascii="Times New Roman" w:hAnsi="Times New Roman" w:cs="Times New Roman"/>
          <w:sz w:val="21"/>
          <w:szCs w:val="21"/>
        </w:rPr>
        <w:t>5.修饰回交育种方法</w:t>
      </w:r>
    </w:p>
    <w:p>
      <w:pPr>
        <w:pStyle w:val="6"/>
        <w:spacing w:before="0" w:beforeAutospacing="0" w:after="0" w:afterAutospacing="0"/>
        <w:jc w:val="both"/>
        <w:rPr>
          <w:rFonts w:ascii="Times New Roman" w:hAnsi="Times New Roman" w:cs="Times New Roman"/>
          <w:sz w:val="21"/>
          <w:szCs w:val="21"/>
        </w:rPr>
      </w:pPr>
      <w:r>
        <w:rPr>
          <w:rFonts w:ascii="Times New Roman" w:hAnsi="Times New Roman" w:cs="Times New Roman"/>
          <w:sz w:val="21"/>
          <w:szCs w:val="21"/>
        </w:rPr>
        <w:t>第三节 回交育种的特点及其应用价值</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回交育种法的遗传特性</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回交的其他用途</w:t>
      </w:r>
    </w:p>
    <w:p>
      <w:pPr>
        <w:pStyle w:val="6"/>
        <w:spacing w:before="0" w:beforeAutospacing="0" w:after="0" w:afterAutospacing="0"/>
        <w:ind w:firstLine="210" w:firstLineChars="100"/>
        <w:jc w:val="both"/>
        <w:rPr>
          <w:rFonts w:ascii="Times New Roman" w:hAnsi="Times New Roman" w:cs="Times New Roman"/>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第八章　诱变育种</w:t>
      </w:r>
    </w:p>
    <w:p>
      <w:pPr>
        <w:rPr>
          <w:szCs w:val="21"/>
        </w:rPr>
      </w:pPr>
      <w:r>
        <w:rPr>
          <w:szCs w:val="21"/>
        </w:rPr>
        <w:t>第一节  诱变育种的概念、意义和特点</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1.诱变育种的概念及育种成效</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2.诱变育种的特点</w:t>
      </w:r>
    </w:p>
    <w:p>
      <w:pPr>
        <w:rPr>
          <w:szCs w:val="21"/>
        </w:rPr>
      </w:pPr>
      <w:r>
        <w:rPr>
          <w:szCs w:val="21"/>
        </w:rPr>
        <w:t>第二节   物理诱变剂及其处理方法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1.物理诱变剂的种类</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2.诱变处理的剂量单位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3.作物对辐射的敏感性</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4.物理诱变处理的方法</w:t>
      </w:r>
    </w:p>
    <w:p>
      <w:pPr>
        <w:rPr>
          <w:szCs w:val="21"/>
        </w:rPr>
      </w:pPr>
      <w:r>
        <w:rPr>
          <w:szCs w:val="21"/>
        </w:rPr>
        <w:t>第三节  化学诱变剂及其处理方法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1.化学诱变剂的类别</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2.化学诱变剂处理方法</w:t>
      </w:r>
    </w:p>
    <w:p>
      <w:pPr>
        <w:rPr>
          <w:szCs w:val="21"/>
        </w:rPr>
      </w:pPr>
      <w:r>
        <w:rPr>
          <w:szCs w:val="21"/>
        </w:rPr>
        <w:t>第四节  诱变处理的方法和程序</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1.处理材料的选择</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2.处理群体大小的确定</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3.诱变处理后代的选择</w:t>
      </w:r>
    </w:p>
    <w:p>
      <w:pPr>
        <w:rPr>
          <w:szCs w:val="21"/>
        </w:rPr>
      </w:pPr>
      <w:r>
        <w:rPr>
          <w:szCs w:val="21"/>
        </w:rPr>
        <w:t>第五节  提高诱变育种效率的方法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1.根据影响诱变效果的因素，采取相应措施，提高诱变育种效率</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2.提高诱变育种效率的其他方法</w:t>
      </w:r>
    </w:p>
    <w:p>
      <w:pPr>
        <w:rPr>
          <w:szCs w:val="21"/>
        </w:rPr>
      </w:pPr>
      <w:r>
        <w:rPr>
          <w:szCs w:val="21"/>
        </w:rPr>
        <w:t>第六节　植物空间技术育种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1.植物空间技术育种的概念和特点</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2.空间诱变的生物学效应</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3.空间诱发植物突变的作用机制</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4.空间技术育成品种的安全性问题</w:t>
      </w:r>
    </w:p>
    <w:p>
      <w:pPr>
        <w:pStyle w:val="6"/>
        <w:spacing w:before="0" w:beforeAutospacing="0" w:after="0" w:afterAutospacing="0"/>
        <w:ind w:firstLine="210" w:firstLineChars="100"/>
        <w:jc w:val="both"/>
        <w:rPr>
          <w:rFonts w:ascii="Times New Roman" w:hAnsi="Times New Roman" w:cs="Times New Roman"/>
          <w:color w:val="000000"/>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第九章　远缘杂交育种</w:t>
      </w:r>
    </w:p>
    <w:p>
      <w:pPr>
        <w:rPr>
          <w:szCs w:val="21"/>
        </w:rPr>
      </w:pPr>
      <w:r>
        <w:rPr>
          <w:szCs w:val="21"/>
        </w:rPr>
        <w:t>第一节　远缘杂交的概念、特点和作用</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1.远缘杂交的概念</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2.远缘杂交的特点</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3.远缘杂交在育种工作中的重要作用</w:t>
      </w:r>
    </w:p>
    <w:p>
      <w:pPr>
        <w:rPr>
          <w:szCs w:val="21"/>
        </w:rPr>
      </w:pPr>
      <w:r>
        <w:rPr>
          <w:szCs w:val="21"/>
        </w:rPr>
        <w:t>第二节　远缘杂交不亲和的原因及克服方法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1.远缘杂交不亲和性及其原因</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2.克服远缘杂交不亲和性的方法</w:t>
      </w:r>
    </w:p>
    <w:p>
      <w:pPr>
        <w:rPr>
          <w:szCs w:val="21"/>
        </w:rPr>
      </w:pPr>
      <w:r>
        <w:rPr>
          <w:szCs w:val="21"/>
        </w:rPr>
        <w:t>第三节　远缘杂种夭亡、不育及其克服方法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1.远缘杂种的夭亡与不育性</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2.克服远缘杂种夭亡和不育的方法</w:t>
      </w:r>
    </w:p>
    <w:p>
      <w:pPr>
        <w:rPr>
          <w:szCs w:val="21"/>
        </w:rPr>
      </w:pPr>
      <w:r>
        <w:rPr>
          <w:szCs w:val="21"/>
        </w:rPr>
        <w:t>第四节　远缘杂种后代的分离和选择</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1.远缘杂种后代性状分离的特点</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2.远缘杂种的分离类型</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3.远缘杂种后代分离的控制</w:t>
      </w:r>
    </w:p>
    <w:p>
      <w:pPr>
        <w:rPr>
          <w:szCs w:val="21"/>
        </w:rPr>
      </w:pPr>
      <w:r>
        <w:rPr>
          <w:szCs w:val="21"/>
        </w:rPr>
        <w:t>第五节  远缘杂交的育种技术</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1.远缘杂交的育种特点</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2.其他远缘杂交育种技术介绍</w:t>
      </w:r>
    </w:p>
    <w:p>
      <w:pPr>
        <w:pStyle w:val="6"/>
        <w:spacing w:before="0" w:beforeAutospacing="0" w:after="0" w:afterAutospacing="0"/>
        <w:ind w:firstLine="315" w:firstLineChars="150"/>
        <w:jc w:val="both"/>
        <w:rPr>
          <w:rFonts w:ascii="Times New Roman" w:hAnsi="Times New Roman" w:cs="Times New Roman"/>
          <w:color w:val="000000"/>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第十章　倍性育种</w:t>
      </w:r>
    </w:p>
    <w:p>
      <w:pPr>
        <w:rPr>
          <w:szCs w:val="21"/>
        </w:rPr>
      </w:pPr>
      <w:r>
        <w:rPr>
          <w:szCs w:val="21"/>
        </w:rPr>
        <w:t>第一节　植物的多倍性</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1.多倍体的概念和种类</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2.多倍体的由来与进化</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3.多倍体育种的意义</w:t>
      </w:r>
    </w:p>
    <w:p>
      <w:pPr>
        <w:rPr>
          <w:szCs w:val="21"/>
        </w:rPr>
      </w:pPr>
      <w:r>
        <w:rPr>
          <w:szCs w:val="21"/>
        </w:rPr>
        <w:t>第二节　多倍体育种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1.诱导多倍体材料的选择</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2.获得多倍体的途径与方法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3.多倍体的鉴定</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4.多倍体材料的加工和选育利用</w:t>
      </w:r>
    </w:p>
    <w:p>
      <w:pPr>
        <w:rPr>
          <w:szCs w:val="21"/>
        </w:rPr>
      </w:pPr>
      <w:r>
        <w:rPr>
          <w:szCs w:val="21"/>
        </w:rPr>
        <w:t>第三节　单倍体及其在育种中的应用</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1.单倍体的类型及特点</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2.诱导产生单倍体的方法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3.单倍体的鉴别与二倍化</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4.单倍体在育种上的应用</w:t>
      </w:r>
    </w:p>
    <w:p>
      <w:pPr>
        <w:pStyle w:val="6"/>
        <w:spacing w:before="0" w:beforeAutospacing="0" w:after="0" w:afterAutospacing="0"/>
        <w:jc w:val="both"/>
        <w:rPr>
          <w:rFonts w:ascii="Times New Roman" w:hAnsi="Times New Roman" w:cs="Times New Roman"/>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第十一章　杂种优势利用</w:t>
      </w:r>
    </w:p>
    <w:p>
      <w:pPr>
        <w:rPr>
          <w:szCs w:val="21"/>
        </w:rPr>
      </w:pPr>
      <w:r>
        <w:rPr>
          <w:szCs w:val="21"/>
        </w:rPr>
        <w:t>第一节　杂种优势利用的概况及其表现</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1.杂种优势利用的简史与现状</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2.杂种优势的概念与度量方法</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3.杂种优势表现的特点</w:t>
      </w:r>
    </w:p>
    <w:p>
      <w:pPr>
        <w:rPr>
          <w:szCs w:val="21"/>
        </w:rPr>
      </w:pPr>
      <w:r>
        <w:rPr>
          <w:szCs w:val="21"/>
        </w:rPr>
        <w:t>第二节 杂种优势的遗传基础</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1.显性假说</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2.超显性假说</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3.对两种假说的评论</w:t>
      </w:r>
    </w:p>
    <w:p>
      <w:pPr>
        <w:rPr>
          <w:szCs w:val="21"/>
          <w:lang w:val="en-GB"/>
        </w:rPr>
      </w:pPr>
      <w:r>
        <w:rPr>
          <w:szCs w:val="21"/>
        </w:rPr>
        <w:t>第三节</w:t>
      </w:r>
      <w:r>
        <w:rPr>
          <w:szCs w:val="21"/>
          <w:lang w:val="en-GB"/>
        </w:rPr>
        <w:t xml:space="preserve">  </w:t>
      </w:r>
      <w:r>
        <w:rPr>
          <w:szCs w:val="21"/>
        </w:rPr>
        <w:t>选育杂交种的一般程序</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1.自交系的选育</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2.配合力测定</w:t>
      </w:r>
    </w:p>
    <w:p>
      <w:pPr>
        <w:rPr>
          <w:szCs w:val="21"/>
        </w:rPr>
      </w:pPr>
      <w:r>
        <w:rPr>
          <w:szCs w:val="21"/>
        </w:rPr>
        <w:t>第四节  自交系的选育与改良</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1.自交系的选育</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2.自交系的改良</w:t>
      </w:r>
    </w:p>
    <w:p>
      <w:pPr>
        <w:rPr>
          <w:szCs w:val="21"/>
        </w:rPr>
      </w:pPr>
      <w:r>
        <w:rPr>
          <w:szCs w:val="21"/>
        </w:rPr>
        <w:t>第五节  配合力及其测定</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1.配合力的概念</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2.配合力的测定</w:t>
      </w:r>
    </w:p>
    <w:p>
      <w:pPr>
        <w:rPr>
          <w:szCs w:val="21"/>
        </w:rPr>
      </w:pPr>
      <w:r>
        <w:rPr>
          <w:szCs w:val="21"/>
        </w:rPr>
        <w:t>第六节  杂交种的类别</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1.品种间杂交种</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2.品种一自交系间杂交种</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3.自交系间杂交种</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4.雄性不育杂交种</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5.自交不亲和系杂交种</w:t>
      </w:r>
    </w:p>
    <w:p>
      <w:pPr>
        <w:pStyle w:val="6"/>
        <w:spacing w:before="0" w:beforeAutospacing="0" w:after="0" w:afterAutospacing="0"/>
        <w:ind w:left="359" w:leftChars="171"/>
        <w:jc w:val="both"/>
        <w:rPr>
          <w:rFonts w:ascii="Times New Roman" w:hAnsi="Times New Roman" w:cs="Times New Roman"/>
          <w:sz w:val="21"/>
          <w:szCs w:val="21"/>
        </w:rPr>
      </w:pPr>
      <w:r>
        <w:rPr>
          <w:rFonts w:ascii="Times New Roman" w:hAnsi="Times New Roman" w:cs="Times New Roman"/>
          <w:sz w:val="21"/>
          <w:szCs w:val="21"/>
        </w:rPr>
        <w:t>6.种间与亚种间杂交种</w:t>
      </w:r>
    </w:p>
    <w:p>
      <w:pPr>
        <w:rPr>
          <w:szCs w:val="21"/>
        </w:rPr>
      </w:pPr>
      <w:r>
        <w:rPr>
          <w:szCs w:val="21"/>
        </w:rPr>
        <w:t>第七节  利用杂种优势的方法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1.利用杂种优势必需的基本条件</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2.利用杂种优势的途径,包括人工去雄杂交制种、化学杀雄选、利用自交不亲和性和利用雄性不育性生产杂交种</w:t>
      </w:r>
    </w:p>
    <w:p>
      <w:pPr>
        <w:pStyle w:val="6"/>
        <w:spacing w:before="0" w:beforeAutospacing="0" w:after="0" w:afterAutospacing="0"/>
        <w:ind w:firstLine="210" w:firstLineChars="100"/>
        <w:jc w:val="both"/>
        <w:rPr>
          <w:rFonts w:ascii="Times New Roman" w:hAnsi="Times New Roman" w:cs="Times New Roman"/>
          <w:color w:val="000000"/>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第十二章   雄性不育及其杂种品种的选育</w:t>
      </w:r>
    </w:p>
    <w:p>
      <w:pPr>
        <w:pStyle w:val="6"/>
        <w:spacing w:before="0" w:beforeAutospacing="0" w:after="0" w:afterAutospacing="0"/>
        <w:jc w:val="both"/>
        <w:rPr>
          <w:rFonts w:ascii="Times New Roman" w:hAnsi="Times New Roman" w:cs="Times New Roman"/>
          <w:color w:val="000000"/>
          <w:sz w:val="21"/>
          <w:szCs w:val="21"/>
        </w:rPr>
      </w:pPr>
      <w:r>
        <w:rPr>
          <w:rFonts w:ascii="Times New Roman" w:hAnsi="Times New Roman" w:cs="Times New Roman"/>
          <w:color w:val="000000"/>
          <w:sz w:val="21"/>
          <w:szCs w:val="21"/>
        </w:rPr>
        <w:t>第一节 雄性不育的遗传</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质核互作雄性不育的遗传</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核雄性不育的遗传</w:t>
      </w:r>
    </w:p>
    <w:p>
      <w:pPr>
        <w:pStyle w:val="6"/>
        <w:numPr>
          <w:ilvl w:val="0"/>
          <w:numId w:val="1"/>
        </w:numPr>
        <w:spacing w:before="0" w:beforeAutospacing="0" w:after="0" w:afterAutospacing="0"/>
        <w:ind w:right="15"/>
        <w:jc w:val="both"/>
        <w:rPr>
          <w:rFonts w:ascii="Times New Roman" w:hAnsi="Times New Roman" w:cs="Times New Roman"/>
          <w:color w:val="000000"/>
          <w:sz w:val="21"/>
          <w:szCs w:val="21"/>
        </w:rPr>
      </w:pPr>
      <w:r>
        <w:rPr>
          <w:rFonts w:ascii="Times New Roman" w:hAnsi="Times New Roman" w:cs="Times New Roman"/>
          <w:color w:val="000000"/>
          <w:sz w:val="21"/>
          <w:szCs w:val="21"/>
        </w:rPr>
        <w:t>雄性不育的生物学特性</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雄性不育的形态差异</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雄性不育的细胞学特征</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雄性不育的生理生化特征</w:t>
      </w:r>
    </w:p>
    <w:p>
      <w:pPr>
        <w:pStyle w:val="6"/>
        <w:numPr>
          <w:ilvl w:val="0"/>
          <w:numId w:val="1"/>
        </w:numPr>
        <w:spacing w:before="0" w:beforeAutospacing="0" w:after="0" w:afterAutospacing="0"/>
        <w:ind w:right="15"/>
        <w:jc w:val="both"/>
        <w:rPr>
          <w:rFonts w:ascii="Times New Roman" w:hAnsi="Times New Roman" w:cs="Times New Roman"/>
          <w:color w:val="000000"/>
          <w:sz w:val="21"/>
          <w:szCs w:val="21"/>
        </w:rPr>
      </w:pPr>
      <w:r>
        <w:rPr>
          <w:rFonts w:ascii="Times New Roman" w:hAnsi="Times New Roman" w:cs="Times New Roman"/>
          <w:color w:val="000000"/>
          <w:sz w:val="21"/>
          <w:szCs w:val="21"/>
        </w:rPr>
        <w:t>质核互作雄性不育杂种品种的选育</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不育系和保持系选育</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恢复系的选育</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杂种品种的选配</w:t>
      </w:r>
    </w:p>
    <w:p>
      <w:pPr>
        <w:pStyle w:val="6"/>
        <w:numPr>
          <w:ilvl w:val="0"/>
          <w:numId w:val="1"/>
        </w:numPr>
        <w:spacing w:before="0" w:beforeAutospacing="0" w:after="0" w:afterAutospacing="0"/>
        <w:ind w:right="15"/>
        <w:jc w:val="both"/>
        <w:rPr>
          <w:rFonts w:ascii="Times New Roman" w:hAnsi="Times New Roman" w:cs="Times New Roman"/>
          <w:color w:val="000000"/>
          <w:sz w:val="21"/>
          <w:szCs w:val="21"/>
        </w:rPr>
      </w:pPr>
      <w:r>
        <w:rPr>
          <w:rFonts w:ascii="Times New Roman" w:hAnsi="Times New Roman" w:cs="Times New Roman"/>
          <w:color w:val="000000"/>
          <w:sz w:val="21"/>
          <w:szCs w:val="21"/>
        </w:rPr>
        <w:t>核雄性不育杂种品种的选育</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1.</w:t>
      </w:r>
      <w:r>
        <w:rPr>
          <w:rFonts w:ascii="Times New Roman" w:hAnsi="Times New Roman" w:cs="Times New Roman"/>
          <w:sz w:val="21"/>
          <w:szCs w:val="21"/>
        </w:rPr>
        <w:t>核不育种质的获得及鉴定</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2.</w:t>
      </w:r>
      <w:r>
        <w:rPr>
          <w:rFonts w:ascii="Times New Roman" w:hAnsi="Times New Roman" w:cs="Times New Roman"/>
          <w:sz w:val="21"/>
          <w:szCs w:val="21"/>
        </w:rPr>
        <w:t>光温敏核不育杂种品种的选育</w:t>
      </w:r>
    </w:p>
    <w:p>
      <w:pPr>
        <w:pStyle w:val="6"/>
        <w:spacing w:before="0" w:beforeAutospacing="0" w:after="0" w:afterAutospacing="0"/>
        <w:ind w:left="359" w:leftChars="171"/>
        <w:jc w:val="both"/>
        <w:rPr>
          <w:rFonts w:ascii="Times New Roman" w:hAnsi="Times New Roman" w:cs="Times New Roman"/>
          <w:sz w:val="21"/>
          <w:szCs w:val="21"/>
        </w:rPr>
      </w:pPr>
      <w:r>
        <w:rPr>
          <w:rFonts w:hint="eastAsia" w:ascii="Times New Roman" w:hAnsi="Times New Roman" w:cs="Times New Roman"/>
          <w:sz w:val="21"/>
          <w:szCs w:val="21"/>
        </w:rPr>
        <w:t>3.</w:t>
      </w:r>
      <w:r>
        <w:rPr>
          <w:rFonts w:ascii="Times New Roman" w:hAnsi="Times New Roman" w:cs="Times New Roman"/>
          <w:sz w:val="21"/>
          <w:szCs w:val="21"/>
        </w:rPr>
        <w:t>核基因不育杂种优势利用</w:t>
      </w:r>
    </w:p>
    <w:p>
      <w:pPr>
        <w:pStyle w:val="6"/>
        <w:spacing w:before="0" w:beforeAutospacing="0" w:after="0" w:afterAutospacing="0"/>
        <w:ind w:firstLine="210" w:firstLineChars="100"/>
        <w:jc w:val="both"/>
        <w:rPr>
          <w:rFonts w:ascii="Times New Roman" w:hAnsi="Times New Roman" w:cs="Times New Roman"/>
          <w:color w:val="000000"/>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第十三章　抗病育种</w:t>
      </w:r>
    </w:p>
    <w:p>
      <w:pPr>
        <w:rPr>
          <w:szCs w:val="21"/>
        </w:rPr>
      </w:pPr>
      <w:r>
        <w:rPr>
          <w:szCs w:val="21"/>
        </w:rPr>
        <w:t>第一节　抗病育种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1.植物抗病育种的意义及进展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2.植物抗病性与病原物的遗传变异</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3.抗病机制与抗病性的遗传</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4.抗病性鉴定</w:t>
      </w:r>
    </w:p>
    <w:p>
      <w:pPr>
        <w:rPr>
          <w:szCs w:val="21"/>
        </w:rPr>
      </w:pPr>
      <w:r>
        <w:rPr>
          <w:szCs w:val="21"/>
        </w:rPr>
        <w:t>第二节　抗虫育种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1.概述</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2.抗虫机制</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3.抗虫性的遗传</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4.植物抗虫性鉴定</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5.抗虫育种的方法</w:t>
      </w:r>
    </w:p>
    <w:p>
      <w:pPr>
        <w:rPr>
          <w:szCs w:val="21"/>
        </w:rPr>
      </w:pPr>
      <w:r>
        <w:rPr>
          <w:szCs w:val="21"/>
        </w:rPr>
        <w:t>第三节　抗旱与耐盐育种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1.干旱伤害与抗旱生理</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2.盐害与耐盐</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3.抗旱与耐盐性鉴定</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4.植物抗旱耐盐的基因工程</w:t>
      </w:r>
    </w:p>
    <w:p>
      <w:pPr>
        <w:rPr>
          <w:szCs w:val="21"/>
        </w:rPr>
      </w:pPr>
      <w:r>
        <w:rPr>
          <w:szCs w:val="21"/>
        </w:rPr>
        <w:t>第四节　抗寒和耐热育种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1.抗寒与耐热生理</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2.抗寒与耐热鉴定及资源评价</w:t>
      </w:r>
    </w:p>
    <w:p>
      <w:pPr>
        <w:rPr>
          <w:szCs w:val="21"/>
        </w:rPr>
      </w:pPr>
      <w:r>
        <w:rPr>
          <w:szCs w:val="21"/>
        </w:rPr>
        <w:t>第五节　耐湿性与耐弱光育种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1.耐湿性育种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2.耐弱光育种</w:t>
      </w:r>
    </w:p>
    <w:p>
      <w:pPr>
        <w:rPr>
          <w:szCs w:val="21"/>
        </w:rPr>
      </w:pPr>
      <w:r>
        <w:rPr>
          <w:szCs w:val="21"/>
        </w:rPr>
        <w:t>第六节　抗除草剂育种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1.草害及除草剂伤害</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2.抗除草剂育种</w:t>
      </w:r>
    </w:p>
    <w:p>
      <w:pPr>
        <w:jc w:val="center"/>
        <w:rPr>
          <w:rFonts w:eastAsia="华文中宋"/>
          <w:b/>
          <w:color w:val="000000" w:themeColor="text1"/>
          <w14:textFill>
            <w14:solidFill>
              <w14:schemeClr w14:val="tx1"/>
            </w14:solidFill>
          </w14:textFill>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第十四章　植物分子育种</w:t>
      </w:r>
    </w:p>
    <w:p>
      <w:pPr>
        <w:rPr>
          <w:szCs w:val="21"/>
        </w:rPr>
      </w:pPr>
      <w:r>
        <w:rPr>
          <w:szCs w:val="21"/>
        </w:rPr>
        <w:t>第一节  分子标记的类型和作用原理</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1.分子标记的类型和特点</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2.分子标记的原理和遗传特性</w:t>
      </w:r>
    </w:p>
    <w:p>
      <w:pPr>
        <w:rPr>
          <w:szCs w:val="21"/>
        </w:rPr>
      </w:pPr>
      <w:r>
        <w:rPr>
          <w:szCs w:val="21"/>
        </w:rPr>
        <w:t>第二节  重要农艺性状基因连锁标记的筛选技术</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1.遗传图谱的构建与重要农艺性状基因的标记</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2.近等基因系的培育与重要农艺性状基因的标记</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3.群体分离分析法与重要农艺性状基因的标记</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4.数量性状基因的定位</w:t>
      </w:r>
    </w:p>
    <w:p>
      <w:pPr>
        <w:rPr>
          <w:szCs w:val="21"/>
        </w:rPr>
      </w:pPr>
      <w:r>
        <w:rPr>
          <w:szCs w:val="21"/>
        </w:rPr>
        <w:t>第三节  作物MAS育种</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1.作物MAS育种需具备的条件</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2.MAS育种方法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3.提高分子标记的筛选效率</w:t>
      </w:r>
    </w:p>
    <w:p>
      <w:pPr>
        <w:rPr>
          <w:szCs w:val="21"/>
        </w:rPr>
      </w:pPr>
      <w:r>
        <w:rPr>
          <w:szCs w:val="21"/>
        </w:rPr>
        <w:t>第四节 转基因育种的程序</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1.目的基因的获得</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2.目的基因重组质粒的构建</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3.受体材料的选择</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4.转基因方法的确定和外源基因的转化</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5.转化体的筛选和鉴定</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6.转化体的安全性评价</w:t>
      </w:r>
    </w:p>
    <w:p>
      <w:pPr>
        <w:rPr>
          <w:szCs w:val="21"/>
        </w:rPr>
      </w:pPr>
      <w:r>
        <w:rPr>
          <w:szCs w:val="21"/>
        </w:rPr>
        <w:t>第五节 转基因作物品种的选育</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1.转基因作物育种目标的制订</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2.转基因方法的确定及转基因植株的获得</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3.转基因作物品种的选育</w:t>
      </w:r>
    </w:p>
    <w:p>
      <w:pPr>
        <w:rPr>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第十五章　作物育种的试验技术</w:t>
      </w:r>
    </w:p>
    <w:p>
      <w:pPr>
        <w:rPr>
          <w:szCs w:val="21"/>
        </w:rPr>
      </w:pPr>
      <w:r>
        <w:rPr>
          <w:szCs w:val="21"/>
        </w:rPr>
        <w:t>第一节  作物育种的田间试验技术</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1.田间试验设计技术</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2.试验小区设计技术</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3.不同育种阶段的试验技术</w:t>
      </w:r>
    </w:p>
    <w:p>
      <w:pPr>
        <w:rPr>
          <w:szCs w:val="21"/>
        </w:rPr>
      </w:pPr>
      <w:r>
        <w:rPr>
          <w:szCs w:val="21"/>
        </w:rPr>
        <w:t>第二节  品种区域试验技术</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1.区域试验的方法和程序</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2.区域试验资料的统计分析</w:t>
      </w:r>
    </w:p>
    <w:p>
      <w:pPr>
        <w:rPr>
          <w:szCs w:val="21"/>
        </w:rPr>
      </w:pPr>
      <w:r>
        <w:rPr>
          <w:szCs w:val="21"/>
        </w:rPr>
        <w:t>第三节  品种稳定性和适应性分析</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1.品种和环境的交互作用</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2.品种适应性和产量稳定性的参数估计</w:t>
      </w:r>
    </w:p>
    <w:p>
      <w:pPr>
        <w:pStyle w:val="6"/>
        <w:spacing w:before="0" w:beforeAutospacing="0" w:after="0" w:afterAutospacing="0"/>
        <w:jc w:val="both"/>
        <w:rPr>
          <w:rFonts w:ascii="Times New Roman" w:hAnsi="Times New Roman" w:cs="Times New Roman"/>
          <w:sz w:val="21"/>
          <w:szCs w:val="21"/>
        </w:rPr>
      </w:pPr>
    </w:p>
    <w:p>
      <w:pPr>
        <w:jc w:val="center"/>
        <w:rPr>
          <w:rFonts w:eastAsia="华文中宋"/>
          <w:b/>
          <w:color w:val="000000" w:themeColor="text1"/>
          <w14:textFill>
            <w14:solidFill>
              <w14:schemeClr w14:val="tx1"/>
            </w14:solidFill>
          </w14:textFill>
        </w:rPr>
      </w:pPr>
      <w:r>
        <w:rPr>
          <w:rFonts w:eastAsia="华文中宋"/>
          <w:b/>
          <w:color w:val="000000" w:themeColor="text1"/>
          <w14:textFill>
            <w14:solidFill>
              <w14:schemeClr w14:val="tx1"/>
            </w14:solidFill>
          </w14:textFill>
        </w:rPr>
        <w:t>第十六章　品种审定与良种繁育</w:t>
      </w:r>
    </w:p>
    <w:p>
      <w:pPr>
        <w:rPr>
          <w:szCs w:val="21"/>
        </w:rPr>
      </w:pPr>
      <w:r>
        <w:rPr>
          <w:szCs w:val="21"/>
        </w:rPr>
        <w:t>第一节　品种审定</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1.品种审定的任务和意义</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2.品种审定的组织体制</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3.品种审定的程序</w:t>
      </w:r>
    </w:p>
    <w:p>
      <w:pPr>
        <w:rPr>
          <w:szCs w:val="21"/>
        </w:rPr>
      </w:pPr>
      <w:r>
        <w:rPr>
          <w:szCs w:val="21"/>
        </w:rPr>
        <w:t>第二节　植物新品种保护</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1.植物新品种保护的意义和发展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2.植物新品种权的审批机构</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3.品种权授予的条件</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4.植物新品种权的授予程序</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5.品种权的权限和归属</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6.品种权的保护期限和侵权行为的处罚</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7.《植物新品种保护条例》实施进展</w:t>
      </w:r>
    </w:p>
    <w:p>
      <w:pPr>
        <w:rPr>
          <w:szCs w:val="21"/>
        </w:rPr>
      </w:pPr>
      <w:r>
        <w:rPr>
          <w:szCs w:val="21"/>
        </w:rPr>
        <w:t>第三节　品种推广</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1.品种推广的意义</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2.品种推广体系</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3.品种推广的方式、方法</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4.品种区域化和合理布局</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5.良种良法配套</w:t>
      </w:r>
    </w:p>
    <w:p>
      <w:pPr>
        <w:rPr>
          <w:szCs w:val="21"/>
        </w:rPr>
      </w:pPr>
      <w:r>
        <w:rPr>
          <w:szCs w:val="21"/>
        </w:rPr>
        <w:t>第四节　良种繁育</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1.良种繁育的意义和任务</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2.良种繁育的程序和体系</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3.品种的混杂退化和防杂保纯</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4.原种种子生产</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5.园林植物种苗的无性繁殖</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6.良种的加速繁殖</w:t>
      </w:r>
    </w:p>
    <w:p>
      <w:pPr>
        <w:pStyle w:val="6"/>
        <w:spacing w:before="0" w:beforeAutospacing="0" w:after="0" w:afterAutospacing="0"/>
        <w:ind w:left="539" w:leftChars="171" w:hanging="180" w:hangingChars="86"/>
        <w:jc w:val="both"/>
        <w:rPr>
          <w:rFonts w:ascii="Times New Roman" w:hAnsi="Times New Roman" w:cs="Times New Roman"/>
          <w:sz w:val="21"/>
          <w:szCs w:val="21"/>
        </w:rPr>
      </w:pPr>
      <w:r>
        <w:rPr>
          <w:rFonts w:ascii="Times New Roman" w:hAnsi="Times New Roman" w:cs="Times New Roman"/>
          <w:sz w:val="21"/>
          <w:szCs w:val="21"/>
        </w:rPr>
        <w:t>7.人工种子的研制</w:t>
      </w:r>
    </w:p>
    <w:sectPr>
      <w:pgSz w:w="11906" w:h="16838"/>
      <w:pgMar w:top="1418" w:right="1134" w:bottom="1134" w:left="1134" w:header="851" w:footer="992" w:gutter="0"/>
      <w:cols w:space="425" w:num="1"/>
      <w:docGrid w:linePitch="323" w:charSpace="-35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
    <w:panose1 w:val="00000000000000000000"/>
    <w:charset w:val="00"/>
    <w:family w:val="roman"/>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46F7C"/>
    <w:multiLevelType w:val="multilevel"/>
    <w:tmpl w:val="1E346F7C"/>
    <w:lvl w:ilvl="0" w:tentative="0">
      <w:start w:val="2"/>
      <w:numFmt w:val="japaneseCounting"/>
      <w:lvlText w:val="第%1节"/>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96"/>
  <w:drawingGridVerticalSpacing w:val="323"/>
  <w:displayHorizontalDrawingGridEvery w:val="0"/>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A15"/>
    <w:rsid w:val="00002A5C"/>
    <w:rsid w:val="00006F1E"/>
    <w:rsid w:val="000142B9"/>
    <w:rsid w:val="00021372"/>
    <w:rsid w:val="00022A0F"/>
    <w:rsid w:val="0004471B"/>
    <w:rsid w:val="00053B9C"/>
    <w:rsid w:val="00057C79"/>
    <w:rsid w:val="00063661"/>
    <w:rsid w:val="00075DD8"/>
    <w:rsid w:val="00081A92"/>
    <w:rsid w:val="000834DB"/>
    <w:rsid w:val="000927EA"/>
    <w:rsid w:val="00093F5E"/>
    <w:rsid w:val="00094349"/>
    <w:rsid w:val="00097386"/>
    <w:rsid w:val="000A3F4C"/>
    <w:rsid w:val="000A585B"/>
    <w:rsid w:val="000A70D5"/>
    <w:rsid w:val="000B402B"/>
    <w:rsid w:val="000B6868"/>
    <w:rsid w:val="000C3E02"/>
    <w:rsid w:val="000C473D"/>
    <w:rsid w:val="000C7075"/>
    <w:rsid w:val="000D2C06"/>
    <w:rsid w:val="000D34D7"/>
    <w:rsid w:val="000D3E06"/>
    <w:rsid w:val="000D3F91"/>
    <w:rsid w:val="000D6D60"/>
    <w:rsid w:val="000E35FD"/>
    <w:rsid w:val="001010CD"/>
    <w:rsid w:val="001016AD"/>
    <w:rsid w:val="001055C1"/>
    <w:rsid w:val="00107B24"/>
    <w:rsid w:val="001172ED"/>
    <w:rsid w:val="001423CE"/>
    <w:rsid w:val="001467C2"/>
    <w:rsid w:val="00147B67"/>
    <w:rsid w:val="0015224A"/>
    <w:rsid w:val="00153D62"/>
    <w:rsid w:val="001548B6"/>
    <w:rsid w:val="00155CF3"/>
    <w:rsid w:val="0016247E"/>
    <w:rsid w:val="00171AC8"/>
    <w:rsid w:val="0017335F"/>
    <w:rsid w:val="00182826"/>
    <w:rsid w:val="0018386E"/>
    <w:rsid w:val="00187CF5"/>
    <w:rsid w:val="001962B0"/>
    <w:rsid w:val="00196325"/>
    <w:rsid w:val="00196BC9"/>
    <w:rsid w:val="00196F51"/>
    <w:rsid w:val="001A673C"/>
    <w:rsid w:val="001A7371"/>
    <w:rsid w:val="001B3E6A"/>
    <w:rsid w:val="001B647D"/>
    <w:rsid w:val="001D3B16"/>
    <w:rsid w:val="001D5B9D"/>
    <w:rsid w:val="001D67B3"/>
    <w:rsid w:val="001F4FDC"/>
    <w:rsid w:val="001F5AB5"/>
    <w:rsid w:val="001F5C2A"/>
    <w:rsid w:val="001F7628"/>
    <w:rsid w:val="00202D07"/>
    <w:rsid w:val="0020584A"/>
    <w:rsid w:val="002062AE"/>
    <w:rsid w:val="002101AE"/>
    <w:rsid w:val="00213B50"/>
    <w:rsid w:val="00215CD8"/>
    <w:rsid w:val="00226584"/>
    <w:rsid w:val="00226A69"/>
    <w:rsid w:val="00232D9C"/>
    <w:rsid w:val="00233EE4"/>
    <w:rsid w:val="00234F90"/>
    <w:rsid w:val="002400CF"/>
    <w:rsid w:val="002407BA"/>
    <w:rsid w:val="00245727"/>
    <w:rsid w:val="00247047"/>
    <w:rsid w:val="00253B39"/>
    <w:rsid w:val="00263004"/>
    <w:rsid w:val="00263DF5"/>
    <w:rsid w:val="00264088"/>
    <w:rsid w:val="002712E6"/>
    <w:rsid w:val="002857D8"/>
    <w:rsid w:val="002863E2"/>
    <w:rsid w:val="002877EE"/>
    <w:rsid w:val="002A4159"/>
    <w:rsid w:val="002B1581"/>
    <w:rsid w:val="002B2D38"/>
    <w:rsid w:val="002B3B6E"/>
    <w:rsid w:val="002B42D5"/>
    <w:rsid w:val="002B580A"/>
    <w:rsid w:val="002B5E6C"/>
    <w:rsid w:val="002B7626"/>
    <w:rsid w:val="002E662C"/>
    <w:rsid w:val="002E68D7"/>
    <w:rsid w:val="00304198"/>
    <w:rsid w:val="00315F45"/>
    <w:rsid w:val="003444DD"/>
    <w:rsid w:val="00347AA4"/>
    <w:rsid w:val="003537DE"/>
    <w:rsid w:val="00357E3D"/>
    <w:rsid w:val="003601A4"/>
    <w:rsid w:val="0037604E"/>
    <w:rsid w:val="00377C7B"/>
    <w:rsid w:val="0038212D"/>
    <w:rsid w:val="00384FFB"/>
    <w:rsid w:val="00385209"/>
    <w:rsid w:val="00386D48"/>
    <w:rsid w:val="00387757"/>
    <w:rsid w:val="00390EFB"/>
    <w:rsid w:val="00395B87"/>
    <w:rsid w:val="003B04F8"/>
    <w:rsid w:val="003B1FB2"/>
    <w:rsid w:val="003B702F"/>
    <w:rsid w:val="003C02F2"/>
    <w:rsid w:val="003C4A1C"/>
    <w:rsid w:val="003D0AE7"/>
    <w:rsid w:val="003D47E0"/>
    <w:rsid w:val="003D601A"/>
    <w:rsid w:val="003D70D9"/>
    <w:rsid w:val="003E34DF"/>
    <w:rsid w:val="00402B66"/>
    <w:rsid w:val="00407CAF"/>
    <w:rsid w:val="00424AC6"/>
    <w:rsid w:val="00427EE3"/>
    <w:rsid w:val="00432D31"/>
    <w:rsid w:val="00433D28"/>
    <w:rsid w:val="00434D46"/>
    <w:rsid w:val="00435381"/>
    <w:rsid w:val="00444531"/>
    <w:rsid w:val="00447252"/>
    <w:rsid w:val="00452A63"/>
    <w:rsid w:val="004609D2"/>
    <w:rsid w:val="004638FC"/>
    <w:rsid w:val="0046690D"/>
    <w:rsid w:val="00477345"/>
    <w:rsid w:val="004778B6"/>
    <w:rsid w:val="0048594F"/>
    <w:rsid w:val="004942D7"/>
    <w:rsid w:val="004963E7"/>
    <w:rsid w:val="004B38BC"/>
    <w:rsid w:val="004B5C0D"/>
    <w:rsid w:val="004C3AAA"/>
    <w:rsid w:val="004D60CB"/>
    <w:rsid w:val="004D7604"/>
    <w:rsid w:val="004E2CA0"/>
    <w:rsid w:val="004F0A69"/>
    <w:rsid w:val="004F2D0C"/>
    <w:rsid w:val="00504404"/>
    <w:rsid w:val="0051149E"/>
    <w:rsid w:val="005118F3"/>
    <w:rsid w:val="00514378"/>
    <w:rsid w:val="00516461"/>
    <w:rsid w:val="00522010"/>
    <w:rsid w:val="0052319F"/>
    <w:rsid w:val="00531821"/>
    <w:rsid w:val="005347BE"/>
    <w:rsid w:val="005429D4"/>
    <w:rsid w:val="0054366F"/>
    <w:rsid w:val="005506FB"/>
    <w:rsid w:val="0055501A"/>
    <w:rsid w:val="00555BC6"/>
    <w:rsid w:val="00586998"/>
    <w:rsid w:val="00586EC4"/>
    <w:rsid w:val="005875D2"/>
    <w:rsid w:val="00587B52"/>
    <w:rsid w:val="00591027"/>
    <w:rsid w:val="005966FE"/>
    <w:rsid w:val="005A1FFB"/>
    <w:rsid w:val="005C3A72"/>
    <w:rsid w:val="005D0F90"/>
    <w:rsid w:val="005D2493"/>
    <w:rsid w:val="005D3A0C"/>
    <w:rsid w:val="005E1D94"/>
    <w:rsid w:val="005E4A3C"/>
    <w:rsid w:val="005F2B82"/>
    <w:rsid w:val="005F35D5"/>
    <w:rsid w:val="0060054D"/>
    <w:rsid w:val="00607AFF"/>
    <w:rsid w:val="006101CB"/>
    <w:rsid w:val="0061101F"/>
    <w:rsid w:val="00615EAA"/>
    <w:rsid w:val="00616111"/>
    <w:rsid w:val="0061638E"/>
    <w:rsid w:val="00622F14"/>
    <w:rsid w:val="00626B6D"/>
    <w:rsid w:val="00633982"/>
    <w:rsid w:val="00633FDA"/>
    <w:rsid w:val="00635BB6"/>
    <w:rsid w:val="006416D1"/>
    <w:rsid w:val="006452A4"/>
    <w:rsid w:val="00652FAD"/>
    <w:rsid w:val="00656FDF"/>
    <w:rsid w:val="0066577F"/>
    <w:rsid w:val="00666D6B"/>
    <w:rsid w:val="0067147C"/>
    <w:rsid w:val="006731B9"/>
    <w:rsid w:val="006744AC"/>
    <w:rsid w:val="00682A5E"/>
    <w:rsid w:val="00683794"/>
    <w:rsid w:val="006902AF"/>
    <w:rsid w:val="006957A2"/>
    <w:rsid w:val="006A0D29"/>
    <w:rsid w:val="006B6B31"/>
    <w:rsid w:val="006C150E"/>
    <w:rsid w:val="006D16CF"/>
    <w:rsid w:val="006D73B2"/>
    <w:rsid w:val="006E0DED"/>
    <w:rsid w:val="006E3025"/>
    <w:rsid w:val="006E30F3"/>
    <w:rsid w:val="006F0F30"/>
    <w:rsid w:val="006F33D6"/>
    <w:rsid w:val="006F4976"/>
    <w:rsid w:val="006F7659"/>
    <w:rsid w:val="00710C8D"/>
    <w:rsid w:val="00715B0D"/>
    <w:rsid w:val="00717389"/>
    <w:rsid w:val="00720D86"/>
    <w:rsid w:val="00722768"/>
    <w:rsid w:val="00722883"/>
    <w:rsid w:val="00744B27"/>
    <w:rsid w:val="007456F0"/>
    <w:rsid w:val="007458C2"/>
    <w:rsid w:val="007458F8"/>
    <w:rsid w:val="00753B2D"/>
    <w:rsid w:val="007558AF"/>
    <w:rsid w:val="00757C6E"/>
    <w:rsid w:val="00760E7E"/>
    <w:rsid w:val="0076678C"/>
    <w:rsid w:val="0077013C"/>
    <w:rsid w:val="00772EBC"/>
    <w:rsid w:val="00782806"/>
    <w:rsid w:val="0078520F"/>
    <w:rsid w:val="007861F9"/>
    <w:rsid w:val="007875D3"/>
    <w:rsid w:val="007923EC"/>
    <w:rsid w:val="00792DF7"/>
    <w:rsid w:val="00797BCE"/>
    <w:rsid w:val="007B1F4B"/>
    <w:rsid w:val="007B5B1B"/>
    <w:rsid w:val="007B5E20"/>
    <w:rsid w:val="007C15FA"/>
    <w:rsid w:val="007C5D9D"/>
    <w:rsid w:val="007C67C1"/>
    <w:rsid w:val="007E0B60"/>
    <w:rsid w:val="007E2CF2"/>
    <w:rsid w:val="007F6A41"/>
    <w:rsid w:val="008034E7"/>
    <w:rsid w:val="00810912"/>
    <w:rsid w:val="00826E54"/>
    <w:rsid w:val="0083460B"/>
    <w:rsid w:val="008375AE"/>
    <w:rsid w:val="008376DF"/>
    <w:rsid w:val="0084396E"/>
    <w:rsid w:val="00847B8E"/>
    <w:rsid w:val="00850FC0"/>
    <w:rsid w:val="00851026"/>
    <w:rsid w:val="00852944"/>
    <w:rsid w:val="00852E71"/>
    <w:rsid w:val="00862F40"/>
    <w:rsid w:val="008656DD"/>
    <w:rsid w:val="00876237"/>
    <w:rsid w:val="00884D4D"/>
    <w:rsid w:val="00887440"/>
    <w:rsid w:val="00890559"/>
    <w:rsid w:val="0089297C"/>
    <w:rsid w:val="0089354A"/>
    <w:rsid w:val="008936E4"/>
    <w:rsid w:val="0089783C"/>
    <w:rsid w:val="008A237D"/>
    <w:rsid w:val="008A4A04"/>
    <w:rsid w:val="008A6ADA"/>
    <w:rsid w:val="008C1DA9"/>
    <w:rsid w:val="008C5D4D"/>
    <w:rsid w:val="008C7F38"/>
    <w:rsid w:val="008C7FFC"/>
    <w:rsid w:val="008D3202"/>
    <w:rsid w:val="008D47A1"/>
    <w:rsid w:val="008D584E"/>
    <w:rsid w:val="008E21A3"/>
    <w:rsid w:val="008E4047"/>
    <w:rsid w:val="008E5985"/>
    <w:rsid w:val="008F7632"/>
    <w:rsid w:val="00901C1F"/>
    <w:rsid w:val="0091578D"/>
    <w:rsid w:val="00915F19"/>
    <w:rsid w:val="00917E5E"/>
    <w:rsid w:val="00925A85"/>
    <w:rsid w:val="009403B1"/>
    <w:rsid w:val="00951421"/>
    <w:rsid w:val="009526CD"/>
    <w:rsid w:val="00953363"/>
    <w:rsid w:val="009675A5"/>
    <w:rsid w:val="00970A7C"/>
    <w:rsid w:val="0097437F"/>
    <w:rsid w:val="00975A69"/>
    <w:rsid w:val="00976A9C"/>
    <w:rsid w:val="009830F3"/>
    <w:rsid w:val="00984A1F"/>
    <w:rsid w:val="0098605F"/>
    <w:rsid w:val="009952D5"/>
    <w:rsid w:val="00995E03"/>
    <w:rsid w:val="009A0604"/>
    <w:rsid w:val="009A0A83"/>
    <w:rsid w:val="009A26C0"/>
    <w:rsid w:val="009B5FAA"/>
    <w:rsid w:val="009C0F1F"/>
    <w:rsid w:val="009C18D7"/>
    <w:rsid w:val="009D1B5C"/>
    <w:rsid w:val="009D24F1"/>
    <w:rsid w:val="009D31A4"/>
    <w:rsid w:val="009D60F1"/>
    <w:rsid w:val="009E560D"/>
    <w:rsid w:val="009E6BE9"/>
    <w:rsid w:val="009F2B66"/>
    <w:rsid w:val="009F5C63"/>
    <w:rsid w:val="00A0191E"/>
    <w:rsid w:val="00A02106"/>
    <w:rsid w:val="00A058DE"/>
    <w:rsid w:val="00A14B46"/>
    <w:rsid w:val="00A16113"/>
    <w:rsid w:val="00A26661"/>
    <w:rsid w:val="00A27C4B"/>
    <w:rsid w:val="00A32C95"/>
    <w:rsid w:val="00A35264"/>
    <w:rsid w:val="00A3770C"/>
    <w:rsid w:val="00A4021D"/>
    <w:rsid w:val="00A40C9B"/>
    <w:rsid w:val="00A420C4"/>
    <w:rsid w:val="00A42781"/>
    <w:rsid w:val="00A619D9"/>
    <w:rsid w:val="00A67269"/>
    <w:rsid w:val="00A76648"/>
    <w:rsid w:val="00A7687B"/>
    <w:rsid w:val="00A76D6F"/>
    <w:rsid w:val="00A83CB7"/>
    <w:rsid w:val="00A8543B"/>
    <w:rsid w:val="00AA7A36"/>
    <w:rsid w:val="00AB682D"/>
    <w:rsid w:val="00AC3AEA"/>
    <w:rsid w:val="00AC6EE3"/>
    <w:rsid w:val="00AD0F3E"/>
    <w:rsid w:val="00AD6852"/>
    <w:rsid w:val="00AE627C"/>
    <w:rsid w:val="00AE64A4"/>
    <w:rsid w:val="00AF3549"/>
    <w:rsid w:val="00B352B6"/>
    <w:rsid w:val="00B3585C"/>
    <w:rsid w:val="00B41E39"/>
    <w:rsid w:val="00B47726"/>
    <w:rsid w:val="00B51969"/>
    <w:rsid w:val="00B564FF"/>
    <w:rsid w:val="00B57C22"/>
    <w:rsid w:val="00B63428"/>
    <w:rsid w:val="00B73582"/>
    <w:rsid w:val="00B77C82"/>
    <w:rsid w:val="00B81001"/>
    <w:rsid w:val="00B8107B"/>
    <w:rsid w:val="00BC0619"/>
    <w:rsid w:val="00BC1DBF"/>
    <w:rsid w:val="00BC24C8"/>
    <w:rsid w:val="00BC3677"/>
    <w:rsid w:val="00BD1725"/>
    <w:rsid w:val="00BD6430"/>
    <w:rsid w:val="00BF3ABB"/>
    <w:rsid w:val="00BF76DF"/>
    <w:rsid w:val="00C00BA2"/>
    <w:rsid w:val="00C0294C"/>
    <w:rsid w:val="00C14E4D"/>
    <w:rsid w:val="00C2754B"/>
    <w:rsid w:val="00C33818"/>
    <w:rsid w:val="00C35D66"/>
    <w:rsid w:val="00C37719"/>
    <w:rsid w:val="00C56735"/>
    <w:rsid w:val="00C606DC"/>
    <w:rsid w:val="00C731FB"/>
    <w:rsid w:val="00C73D3D"/>
    <w:rsid w:val="00C74BE9"/>
    <w:rsid w:val="00C85A5C"/>
    <w:rsid w:val="00C916F3"/>
    <w:rsid w:val="00C9349A"/>
    <w:rsid w:val="00C94F58"/>
    <w:rsid w:val="00CA18DC"/>
    <w:rsid w:val="00CB2F8F"/>
    <w:rsid w:val="00CB69F5"/>
    <w:rsid w:val="00CC3CD9"/>
    <w:rsid w:val="00CC52C9"/>
    <w:rsid w:val="00CC788A"/>
    <w:rsid w:val="00CD0ACD"/>
    <w:rsid w:val="00CD488E"/>
    <w:rsid w:val="00CE0B79"/>
    <w:rsid w:val="00CE6AC9"/>
    <w:rsid w:val="00CF16DE"/>
    <w:rsid w:val="00D01BCD"/>
    <w:rsid w:val="00D2031A"/>
    <w:rsid w:val="00D23B98"/>
    <w:rsid w:val="00D42592"/>
    <w:rsid w:val="00D501D8"/>
    <w:rsid w:val="00D50F88"/>
    <w:rsid w:val="00D54F9E"/>
    <w:rsid w:val="00D604DE"/>
    <w:rsid w:val="00D640AD"/>
    <w:rsid w:val="00D7373B"/>
    <w:rsid w:val="00D74290"/>
    <w:rsid w:val="00D74E0A"/>
    <w:rsid w:val="00D8154A"/>
    <w:rsid w:val="00DA0716"/>
    <w:rsid w:val="00DB2B3E"/>
    <w:rsid w:val="00DB3E7A"/>
    <w:rsid w:val="00DB5A20"/>
    <w:rsid w:val="00DD2F13"/>
    <w:rsid w:val="00DE2066"/>
    <w:rsid w:val="00DF72FA"/>
    <w:rsid w:val="00E01DAD"/>
    <w:rsid w:val="00E032FE"/>
    <w:rsid w:val="00E10130"/>
    <w:rsid w:val="00E13C52"/>
    <w:rsid w:val="00E16D06"/>
    <w:rsid w:val="00E26282"/>
    <w:rsid w:val="00E3397F"/>
    <w:rsid w:val="00E37BFB"/>
    <w:rsid w:val="00E40EB6"/>
    <w:rsid w:val="00E4240F"/>
    <w:rsid w:val="00E4604F"/>
    <w:rsid w:val="00E543C5"/>
    <w:rsid w:val="00E55925"/>
    <w:rsid w:val="00E55F14"/>
    <w:rsid w:val="00E602CC"/>
    <w:rsid w:val="00E61139"/>
    <w:rsid w:val="00E64E87"/>
    <w:rsid w:val="00E65B23"/>
    <w:rsid w:val="00E70F16"/>
    <w:rsid w:val="00E7138A"/>
    <w:rsid w:val="00E74EE5"/>
    <w:rsid w:val="00E83972"/>
    <w:rsid w:val="00E916C8"/>
    <w:rsid w:val="00EA1DE5"/>
    <w:rsid w:val="00EB022D"/>
    <w:rsid w:val="00EC3C1E"/>
    <w:rsid w:val="00EC4D3C"/>
    <w:rsid w:val="00ED0AB8"/>
    <w:rsid w:val="00EE25B4"/>
    <w:rsid w:val="00F0239A"/>
    <w:rsid w:val="00F07511"/>
    <w:rsid w:val="00F104C0"/>
    <w:rsid w:val="00F106BD"/>
    <w:rsid w:val="00F1123C"/>
    <w:rsid w:val="00F13688"/>
    <w:rsid w:val="00F21E1F"/>
    <w:rsid w:val="00F22C6A"/>
    <w:rsid w:val="00F23907"/>
    <w:rsid w:val="00F24384"/>
    <w:rsid w:val="00F258DA"/>
    <w:rsid w:val="00F262C1"/>
    <w:rsid w:val="00F4135D"/>
    <w:rsid w:val="00F51555"/>
    <w:rsid w:val="00F53214"/>
    <w:rsid w:val="00F53BDF"/>
    <w:rsid w:val="00F561C6"/>
    <w:rsid w:val="00F636C8"/>
    <w:rsid w:val="00F6587E"/>
    <w:rsid w:val="00F739CF"/>
    <w:rsid w:val="00F73A15"/>
    <w:rsid w:val="00F76BA4"/>
    <w:rsid w:val="00F9215C"/>
    <w:rsid w:val="00F96704"/>
    <w:rsid w:val="00FA024C"/>
    <w:rsid w:val="00FA14C9"/>
    <w:rsid w:val="00FA18C0"/>
    <w:rsid w:val="00FA7B6C"/>
    <w:rsid w:val="00FB0C6C"/>
    <w:rsid w:val="00FB5D30"/>
    <w:rsid w:val="00FD7559"/>
    <w:rsid w:val="00FE35BD"/>
    <w:rsid w:val="00FF66DE"/>
    <w:rsid w:val="126E62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4"/>
    <w:unhideWhenUsed/>
    <w:uiPriority w:val="99"/>
    <w:pPr>
      <w:spacing w:beforeLines="30" w:line="480" w:lineRule="exact"/>
      <w:ind w:firstLine="520" w:firstLineChars="200"/>
    </w:pPr>
    <w:rPr>
      <w:rFonts w:hAnsi="宋体"/>
      <w:sz w:val="26"/>
      <w:szCs w:val="32"/>
    </w:rPr>
  </w:style>
  <w:style w:type="paragraph" w:styleId="3">
    <w:name w:val="Balloon Text"/>
    <w:basedOn w:val="1"/>
    <w:semiHidden/>
    <w:uiPriority w:val="0"/>
    <w:rPr>
      <w:sz w:val="18"/>
      <w:szCs w:val="18"/>
    </w:rPr>
  </w:style>
  <w:style w:type="paragraph" w:styleId="4">
    <w:name w:val="footer"/>
    <w:basedOn w:val="1"/>
    <w:link w:val="12"/>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iPriority w:val="0"/>
    <w:pPr>
      <w:widowControl/>
      <w:spacing w:before="100" w:beforeAutospacing="1" w:after="100" w:afterAutospacing="1"/>
      <w:jc w:val="left"/>
    </w:pPr>
    <w:rPr>
      <w:rFonts w:ascii="宋体" w:hAnsi="宋体" w:cs="宋体"/>
      <w:kern w:val="0"/>
      <w:sz w:val="24"/>
      <w:szCs w:val="24"/>
    </w:rPr>
  </w:style>
  <w:style w:type="table" w:styleId="8">
    <w:name w:val="Table Grid"/>
    <w:basedOn w:val="7"/>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Hyperlink"/>
    <w:qFormat/>
    <w:uiPriority w:val="0"/>
    <w:rPr>
      <w:color w:val="0000FF"/>
      <w:u w:val="single"/>
    </w:rPr>
  </w:style>
  <w:style w:type="character" w:customStyle="1" w:styleId="11">
    <w:name w:val="页眉 Char"/>
    <w:link w:val="5"/>
    <w:uiPriority w:val="0"/>
    <w:rPr>
      <w:kern w:val="2"/>
      <w:sz w:val="18"/>
      <w:szCs w:val="18"/>
    </w:rPr>
  </w:style>
  <w:style w:type="character" w:customStyle="1" w:styleId="12">
    <w:name w:val="页脚 Char"/>
    <w:link w:val="4"/>
    <w:qFormat/>
    <w:uiPriority w:val="99"/>
    <w:rPr>
      <w:kern w:val="2"/>
      <w:sz w:val="18"/>
      <w:szCs w:val="18"/>
    </w:rPr>
  </w:style>
  <w:style w:type="character" w:customStyle="1" w:styleId="13">
    <w:name w:val="apple-converted-space"/>
    <w:basedOn w:val="9"/>
    <w:uiPriority w:val="0"/>
  </w:style>
  <w:style w:type="character" w:customStyle="1" w:styleId="14">
    <w:name w:val="正文文本缩进 Char"/>
    <w:link w:val="2"/>
    <w:uiPriority w:val="99"/>
    <w:rPr>
      <w:rFonts w:hAnsi="宋体"/>
      <w:kern w:val="2"/>
      <w:sz w:val="26"/>
      <w:szCs w:val="32"/>
    </w:rPr>
  </w:style>
  <w:style w:type="paragraph" w:customStyle="1" w:styleId="15">
    <w:name w:val="Default"/>
    <w:uiPriority w:val="0"/>
    <w:pPr>
      <w:widowControl w:val="0"/>
      <w:autoSpaceDE w:val="0"/>
      <w:autoSpaceDN w:val="0"/>
      <w:adjustRightInd w:val="0"/>
    </w:pPr>
    <w:rPr>
      <w:rFonts w:ascii="FangSong_GB2312" w:hAnsi="FangSong_GB2312" w:eastAsia="宋体" w:cs="FangSong_GB2312"/>
      <w:color w:val="000000"/>
      <w:sz w:val="24"/>
      <w:szCs w:val="24"/>
      <w:lang w:val="en-US" w:eastAsia="zh-CN" w:bidi="ar-SA"/>
    </w:rPr>
  </w:style>
  <w:style w:type="paragraph" w:styleId="16">
    <w:name w:val="List Paragraph"/>
    <w:basedOn w:val="1"/>
    <w:qFormat/>
    <w:uiPriority w:val="34"/>
    <w:pPr>
      <w:ind w:firstLine="420" w:firstLineChars="200"/>
    </w:pPr>
  </w:style>
  <w:style w:type="paragraph" w:customStyle="1" w:styleId="17">
    <w:name w:val="列出段落1"/>
    <w:basedOn w:val="1"/>
    <w:qFormat/>
    <w:uiPriority w:val="0"/>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湘潭大学研招办</Company>
  <Pages>7</Pages>
  <Words>706</Words>
  <Characters>4029</Characters>
  <Lines>33</Lines>
  <Paragraphs>9</Paragraphs>
  <TotalTime>42</TotalTime>
  <ScaleCrop>false</ScaleCrop>
  <LinksUpToDate>false</LinksUpToDate>
  <CharactersWithSpaces>4726</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2020-08-13T13:57:00Z</dcterms:created>
  <dc:creator>李丽兰</dc:creator>
  <cp:lastModifiedBy>Y2^Q2</cp:lastModifiedBy>
  <cp:lastPrinted>2018-07-16T02:14:00Z</cp:lastPrinted>
  <dcterms:modified xsi:type="dcterms:W3CDTF">2020-08-14T04:03:10Z</dcterms:modified>
  <dc:title>关于编制2002年硕士研究生招生专业目录的通知</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