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szCs w:val="36"/>
        </w:rPr>
      </w:pPr>
      <w:r>
        <w:rPr>
          <w:rFonts w:eastAsia="黑体"/>
          <w:sz w:val="36"/>
          <w:szCs w:val="36"/>
        </w:rPr>
        <w:t>2020年湖南农业大学硕士研究生招生考试</w:t>
      </w:r>
    </w:p>
    <w:p>
      <w:pPr>
        <w:spacing w:after="120" w:afterLines="50"/>
        <w:jc w:val="center"/>
        <w:rPr>
          <w:rFonts w:eastAsia="黑体"/>
          <w:sz w:val="36"/>
          <w:szCs w:val="36"/>
        </w:rPr>
      </w:pPr>
      <w:r>
        <w:rPr>
          <w:rFonts w:eastAsia="黑体"/>
          <w:sz w:val="36"/>
          <w:szCs w:val="36"/>
        </w:rPr>
        <w:t>水域生态学考试大纲</w:t>
      </w:r>
    </w:p>
    <w:p>
      <w:pPr>
        <w:spacing w:line="360" w:lineRule="auto"/>
        <w:rPr>
          <w:rFonts w:eastAsia="黑体"/>
          <w:sz w:val="28"/>
          <w:szCs w:val="28"/>
        </w:rPr>
      </w:pPr>
      <w:r>
        <w:rPr>
          <w:rFonts w:eastAsia="黑体"/>
          <w:sz w:val="28"/>
          <w:szCs w:val="28"/>
        </w:rPr>
        <w:t>Ⅰ．考试性质</w:t>
      </w:r>
    </w:p>
    <w:p>
      <w:pPr>
        <w:spacing w:line="360" w:lineRule="auto"/>
        <w:ind w:firstLine="495" w:firstLineChars="177"/>
        <w:rPr>
          <w:sz w:val="28"/>
          <w:szCs w:val="28"/>
        </w:rPr>
      </w:pPr>
      <w:r>
        <w:rPr>
          <w:sz w:val="28"/>
          <w:szCs w:val="28"/>
        </w:rPr>
        <w:t>水域生态学理论考试是为招收水产硕士研究生而设置的具有选拔性质的招生考试科目，其目的是科学、公平、有效地测试考生掌握水域生态学方面的基本知识、基本理论，以及运用水域生态学原理和方法分析与解决水产生产实践问题的能力，评价的标准是高等学校本科毕业生能达到的及格或及格以上水平。</w:t>
      </w:r>
    </w:p>
    <w:p>
      <w:pPr>
        <w:spacing w:line="360" w:lineRule="auto"/>
        <w:rPr>
          <w:rFonts w:eastAsia="黑体"/>
          <w:sz w:val="28"/>
          <w:szCs w:val="28"/>
        </w:rPr>
      </w:pPr>
      <w:r>
        <w:rPr>
          <w:rFonts w:eastAsia="黑体"/>
          <w:sz w:val="28"/>
          <w:szCs w:val="28"/>
        </w:rPr>
        <w:t>Ⅱ．考查目标</w:t>
      </w:r>
    </w:p>
    <w:p>
      <w:pPr>
        <w:spacing w:line="360" w:lineRule="auto"/>
        <w:ind w:firstLine="495" w:firstLineChars="177"/>
        <w:rPr>
          <w:sz w:val="28"/>
          <w:szCs w:val="28"/>
        </w:rPr>
      </w:pPr>
      <w:r>
        <w:rPr>
          <w:sz w:val="28"/>
          <w:szCs w:val="28"/>
        </w:rPr>
        <w:t>1．准确地使用本学科的专业术语，正确理解和掌握学科的有关原理和方法。</w:t>
      </w:r>
    </w:p>
    <w:p>
      <w:pPr>
        <w:spacing w:line="360" w:lineRule="auto"/>
        <w:ind w:firstLine="495" w:firstLineChars="177"/>
        <w:rPr>
          <w:sz w:val="28"/>
          <w:szCs w:val="28"/>
        </w:rPr>
      </w:pPr>
      <w:r>
        <w:rPr>
          <w:sz w:val="28"/>
          <w:szCs w:val="28"/>
        </w:rPr>
        <w:t>2</w:t>
      </w:r>
      <w:r>
        <w:rPr>
          <w:rFonts w:hint="eastAsia"/>
          <w:sz w:val="28"/>
          <w:szCs w:val="28"/>
        </w:rPr>
        <w:t>.</w:t>
      </w:r>
      <w:r>
        <w:rPr>
          <w:sz w:val="28"/>
          <w:szCs w:val="28"/>
        </w:rPr>
        <w:t xml:space="preserve"> 运用水域生态</w:t>
      </w:r>
      <w:r>
        <w:rPr>
          <w:rFonts w:hint="eastAsia"/>
          <w:sz w:val="28"/>
          <w:szCs w:val="28"/>
        </w:rPr>
        <w:t>学</w:t>
      </w:r>
      <w:r>
        <w:rPr>
          <w:sz w:val="28"/>
          <w:szCs w:val="28"/>
        </w:rPr>
        <w:t>原理和方法，分析并解决水产生产实践中的现象或问题。</w:t>
      </w:r>
    </w:p>
    <w:p>
      <w:pPr>
        <w:spacing w:line="360" w:lineRule="auto"/>
        <w:rPr>
          <w:rFonts w:eastAsia="黑体"/>
          <w:sz w:val="28"/>
          <w:szCs w:val="28"/>
        </w:rPr>
      </w:pPr>
      <w:r>
        <w:rPr>
          <w:rFonts w:eastAsia="黑体"/>
          <w:sz w:val="28"/>
          <w:szCs w:val="28"/>
        </w:rPr>
        <w:t>Ⅲ．考试形式和试卷结构</w:t>
      </w:r>
    </w:p>
    <w:p>
      <w:pPr>
        <w:pStyle w:val="15"/>
        <w:numPr>
          <w:ilvl w:val="0"/>
          <w:numId w:val="1"/>
        </w:numPr>
        <w:spacing w:line="360" w:lineRule="auto"/>
        <w:ind w:hanging="369" w:firstLineChars="0"/>
        <w:rPr>
          <w:b/>
          <w:bCs/>
          <w:sz w:val="28"/>
          <w:szCs w:val="28"/>
        </w:rPr>
      </w:pPr>
      <w:r>
        <w:rPr>
          <w:b/>
          <w:bCs/>
          <w:sz w:val="28"/>
          <w:szCs w:val="28"/>
        </w:rPr>
        <w:t>试卷满分及考试时间</w:t>
      </w:r>
    </w:p>
    <w:p>
      <w:pPr>
        <w:spacing w:line="360" w:lineRule="auto"/>
        <w:ind w:firstLine="495" w:firstLineChars="177"/>
        <w:rPr>
          <w:sz w:val="28"/>
          <w:szCs w:val="28"/>
        </w:rPr>
      </w:pPr>
      <w:r>
        <w:rPr>
          <w:sz w:val="28"/>
          <w:szCs w:val="28"/>
        </w:rPr>
        <w:t>本试卷满分为150分，考试时间为180分钟。</w:t>
      </w:r>
    </w:p>
    <w:p>
      <w:pPr>
        <w:pStyle w:val="15"/>
        <w:numPr>
          <w:ilvl w:val="0"/>
          <w:numId w:val="1"/>
        </w:numPr>
        <w:spacing w:line="360" w:lineRule="auto"/>
        <w:ind w:firstLineChars="0"/>
        <w:rPr>
          <w:b/>
          <w:bCs/>
          <w:sz w:val="28"/>
          <w:szCs w:val="28"/>
        </w:rPr>
      </w:pPr>
      <w:r>
        <w:rPr>
          <w:b/>
          <w:bCs/>
          <w:sz w:val="28"/>
          <w:szCs w:val="28"/>
        </w:rPr>
        <w:t>答题方式</w:t>
      </w:r>
    </w:p>
    <w:p>
      <w:pPr>
        <w:spacing w:line="360" w:lineRule="auto"/>
        <w:ind w:firstLine="495" w:firstLineChars="177"/>
        <w:rPr>
          <w:sz w:val="28"/>
          <w:szCs w:val="28"/>
        </w:rPr>
      </w:pPr>
      <w:r>
        <w:rPr>
          <w:sz w:val="28"/>
          <w:szCs w:val="28"/>
        </w:rPr>
        <w:t>答题方式为闭卷、笔试。</w:t>
      </w:r>
    </w:p>
    <w:p>
      <w:pPr>
        <w:pStyle w:val="15"/>
        <w:numPr>
          <w:ilvl w:val="0"/>
          <w:numId w:val="1"/>
        </w:numPr>
        <w:spacing w:line="360" w:lineRule="auto"/>
        <w:ind w:firstLineChars="0"/>
        <w:rPr>
          <w:b/>
          <w:bCs/>
          <w:sz w:val="28"/>
          <w:szCs w:val="28"/>
        </w:rPr>
      </w:pPr>
      <w:r>
        <w:rPr>
          <w:b/>
          <w:bCs/>
          <w:sz w:val="28"/>
          <w:szCs w:val="28"/>
        </w:rPr>
        <w:t>试卷内容结构</w:t>
      </w:r>
    </w:p>
    <w:p>
      <w:pPr>
        <w:spacing w:line="360" w:lineRule="auto"/>
        <w:ind w:firstLine="495" w:firstLineChars="177"/>
        <w:rPr>
          <w:sz w:val="28"/>
          <w:szCs w:val="28"/>
        </w:rPr>
      </w:pPr>
      <w:r>
        <w:rPr>
          <w:sz w:val="28"/>
          <w:szCs w:val="28"/>
        </w:rPr>
        <w:t>参考书目：《养殖水域生态学》，赵文，中国农业出版社，2011 版。</w:t>
      </w:r>
    </w:p>
    <w:p>
      <w:pPr>
        <w:pStyle w:val="15"/>
        <w:numPr>
          <w:ilvl w:val="0"/>
          <w:numId w:val="1"/>
        </w:numPr>
        <w:spacing w:line="360" w:lineRule="auto"/>
        <w:ind w:firstLineChars="0"/>
        <w:rPr>
          <w:b/>
          <w:bCs/>
          <w:sz w:val="28"/>
          <w:szCs w:val="28"/>
        </w:rPr>
      </w:pPr>
      <w:r>
        <w:rPr>
          <w:b/>
          <w:bCs/>
          <w:sz w:val="28"/>
          <w:szCs w:val="28"/>
        </w:rPr>
        <w:t>试卷题型结构</w:t>
      </w:r>
    </w:p>
    <w:p>
      <w:pPr>
        <w:spacing w:line="360" w:lineRule="auto"/>
        <w:ind w:firstLine="495" w:firstLineChars="177"/>
        <w:rPr>
          <w:sz w:val="28"/>
          <w:szCs w:val="28"/>
        </w:rPr>
      </w:pPr>
      <w:r>
        <w:rPr>
          <w:sz w:val="28"/>
          <w:szCs w:val="28"/>
        </w:rPr>
        <w:t>名词解释题30分，</w:t>
      </w:r>
      <w:r>
        <w:rPr>
          <w:rFonts w:hint="eastAsia"/>
          <w:sz w:val="28"/>
          <w:szCs w:val="28"/>
        </w:rPr>
        <w:t>简答题和</w:t>
      </w:r>
      <w:r>
        <w:rPr>
          <w:sz w:val="28"/>
          <w:szCs w:val="28"/>
        </w:rPr>
        <w:t>论述题120分。</w:t>
      </w:r>
    </w:p>
    <w:p>
      <w:pPr>
        <w:spacing w:line="360" w:lineRule="auto"/>
        <w:rPr>
          <w:rFonts w:eastAsia="黑体"/>
          <w:sz w:val="28"/>
          <w:szCs w:val="28"/>
        </w:rPr>
      </w:pPr>
      <w:r>
        <w:rPr>
          <w:rFonts w:eastAsia="黑体"/>
          <w:sz w:val="28"/>
          <w:szCs w:val="28"/>
        </w:rPr>
        <w:t>Ⅳ．考查内容</w:t>
      </w:r>
    </w:p>
    <w:p>
      <w:pPr>
        <w:spacing w:line="360" w:lineRule="auto"/>
        <w:ind w:firstLine="498" w:firstLineChars="177"/>
        <w:rPr>
          <w:b/>
          <w:bCs/>
          <w:sz w:val="28"/>
          <w:szCs w:val="28"/>
        </w:rPr>
      </w:pPr>
      <w:r>
        <w:rPr>
          <w:b/>
          <w:bCs/>
          <w:sz w:val="28"/>
          <w:szCs w:val="28"/>
        </w:rPr>
        <w:t>第一章 个体生态学</w:t>
      </w:r>
    </w:p>
    <w:p>
      <w:pPr>
        <w:spacing w:line="360" w:lineRule="auto"/>
        <w:ind w:firstLine="495" w:firstLineChars="177"/>
        <w:rPr>
          <w:sz w:val="28"/>
          <w:szCs w:val="28"/>
        </w:rPr>
      </w:pPr>
      <w:r>
        <w:rPr>
          <w:sz w:val="28"/>
          <w:szCs w:val="28"/>
        </w:rPr>
        <w:t>生态因子的分类及其基本作用规律；光的生态作用；温度的生态作用；溶解盐类的生态作用；溶解气体的生态作用；其他非生物因子的生态作用</w:t>
      </w:r>
    </w:p>
    <w:p>
      <w:pPr>
        <w:spacing w:line="360" w:lineRule="auto"/>
        <w:ind w:firstLine="498" w:firstLineChars="177"/>
        <w:rPr>
          <w:b/>
          <w:bCs/>
          <w:sz w:val="28"/>
          <w:szCs w:val="28"/>
        </w:rPr>
      </w:pPr>
      <w:r>
        <w:rPr>
          <w:b/>
          <w:bCs/>
          <w:sz w:val="28"/>
          <w:szCs w:val="28"/>
        </w:rPr>
        <w:t>第二章 水生生物种群生态学</w:t>
      </w:r>
    </w:p>
    <w:p>
      <w:pPr>
        <w:spacing w:line="360" w:lineRule="auto"/>
        <w:ind w:firstLine="495" w:firstLineChars="177"/>
        <w:rPr>
          <w:sz w:val="28"/>
          <w:szCs w:val="28"/>
        </w:rPr>
      </w:pPr>
      <w:r>
        <w:rPr>
          <w:sz w:val="28"/>
          <w:szCs w:val="28"/>
        </w:rPr>
        <w:t>种群的概念及特性；物种的形成机制；种群遗传学；种群结构；种群统计；种群的种内关系；种群增长模型；种群数量变动及其生态对策；种群动态的调节机制</w:t>
      </w:r>
    </w:p>
    <w:p>
      <w:pPr>
        <w:spacing w:line="360" w:lineRule="auto"/>
        <w:ind w:firstLine="498" w:firstLineChars="177"/>
        <w:rPr>
          <w:b/>
          <w:bCs/>
          <w:sz w:val="28"/>
          <w:szCs w:val="28"/>
        </w:rPr>
      </w:pPr>
      <w:r>
        <w:rPr>
          <w:b/>
          <w:bCs/>
          <w:sz w:val="28"/>
          <w:szCs w:val="28"/>
        </w:rPr>
        <w:t>第三章 水生生物群落生态学</w:t>
      </w:r>
    </w:p>
    <w:p>
      <w:pPr>
        <w:spacing w:line="360" w:lineRule="auto"/>
        <w:ind w:firstLine="495" w:firstLineChars="177"/>
        <w:rPr>
          <w:sz w:val="28"/>
          <w:szCs w:val="28"/>
        </w:rPr>
      </w:pPr>
      <w:r>
        <w:rPr>
          <w:sz w:val="28"/>
          <w:szCs w:val="28"/>
        </w:rPr>
        <w:t>群落的概念和基本特征；群落的中间关系；群落的结构；浮游生物群落对水环境的浮游适应</w:t>
      </w:r>
    </w:p>
    <w:p>
      <w:pPr>
        <w:spacing w:line="360" w:lineRule="auto"/>
        <w:ind w:firstLine="498" w:firstLineChars="177"/>
        <w:rPr>
          <w:b/>
          <w:bCs/>
          <w:sz w:val="28"/>
          <w:szCs w:val="28"/>
        </w:rPr>
      </w:pPr>
      <w:r>
        <w:rPr>
          <w:b/>
          <w:bCs/>
          <w:sz w:val="28"/>
          <w:szCs w:val="28"/>
        </w:rPr>
        <w:t>第四章 水域生态系统生态学</w:t>
      </w:r>
    </w:p>
    <w:p>
      <w:pPr>
        <w:spacing w:line="360" w:lineRule="auto"/>
        <w:ind w:firstLine="495" w:firstLineChars="177"/>
        <w:rPr>
          <w:sz w:val="28"/>
          <w:szCs w:val="28"/>
        </w:rPr>
      </w:pPr>
      <w:r>
        <w:rPr>
          <w:sz w:val="28"/>
          <w:szCs w:val="28"/>
        </w:rPr>
        <w:t>生态系统和生态系统生态学；生态系统的特征、组成和结构；生态系统的功能及其运转的基本过程；生态系统的演化和演替；生态平衡；生态系统的类型；水域生态系统的类型和基本特征</w:t>
      </w:r>
    </w:p>
    <w:p>
      <w:pPr>
        <w:spacing w:line="360" w:lineRule="auto"/>
        <w:ind w:firstLine="498" w:firstLineChars="177"/>
        <w:rPr>
          <w:b/>
          <w:bCs/>
          <w:sz w:val="28"/>
          <w:szCs w:val="28"/>
        </w:rPr>
      </w:pPr>
      <w:r>
        <w:rPr>
          <w:b/>
          <w:bCs/>
          <w:sz w:val="28"/>
          <w:szCs w:val="28"/>
        </w:rPr>
        <w:t>第五章 养殖水域生态系统的物种循环和能量流动</w:t>
      </w:r>
    </w:p>
    <w:p>
      <w:pPr>
        <w:spacing w:line="360" w:lineRule="auto"/>
        <w:ind w:firstLine="495" w:firstLineChars="177"/>
        <w:rPr>
          <w:sz w:val="28"/>
          <w:szCs w:val="28"/>
        </w:rPr>
      </w:pPr>
      <w:r>
        <w:rPr>
          <w:sz w:val="28"/>
          <w:szCs w:val="28"/>
        </w:rPr>
        <w:t>全球水循环、养殖水体溶解氧的平衡与预报、主要营养物质的循环与平衡、有机质的循环与平衡、放射性核素及有毒物质循环；养殖水域生态系统的能量流动；粒径谱理论和微生物环</w:t>
      </w:r>
    </w:p>
    <w:p>
      <w:pPr>
        <w:spacing w:line="360" w:lineRule="auto"/>
        <w:ind w:firstLine="498" w:firstLineChars="177"/>
        <w:rPr>
          <w:b/>
          <w:bCs/>
          <w:sz w:val="28"/>
          <w:szCs w:val="28"/>
        </w:rPr>
      </w:pPr>
      <w:r>
        <w:rPr>
          <w:b/>
          <w:bCs/>
          <w:sz w:val="28"/>
          <w:szCs w:val="28"/>
        </w:rPr>
        <w:t>第六章 养殖水域生态系统的生物生产力</w:t>
      </w:r>
    </w:p>
    <w:p>
      <w:pPr>
        <w:spacing w:line="360" w:lineRule="auto"/>
        <w:ind w:firstLine="495" w:firstLineChars="177"/>
        <w:rPr>
          <w:sz w:val="28"/>
          <w:szCs w:val="28"/>
        </w:rPr>
      </w:pPr>
      <w:r>
        <w:rPr>
          <w:sz w:val="28"/>
          <w:szCs w:val="28"/>
        </w:rPr>
        <w:t>生物生产力及有关概念；初级生产力；次级生产力；水体鱼产力</w:t>
      </w:r>
    </w:p>
    <w:p>
      <w:pPr>
        <w:spacing w:line="360" w:lineRule="auto"/>
        <w:ind w:firstLine="498" w:firstLineChars="177"/>
        <w:rPr>
          <w:b/>
          <w:bCs/>
          <w:sz w:val="28"/>
          <w:szCs w:val="28"/>
        </w:rPr>
      </w:pPr>
      <w:r>
        <w:rPr>
          <w:b/>
          <w:bCs/>
          <w:sz w:val="28"/>
          <w:szCs w:val="28"/>
        </w:rPr>
        <w:t>第七章 水域污染生态学</w:t>
      </w:r>
    </w:p>
    <w:p>
      <w:pPr>
        <w:spacing w:line="360" w:lineRule="auto"/>
        <w:ind w:firstLine="495" w:firstLineChars="177"/>
        <w:rPr>
          <w:sz w:val="28"/>
          <w:szCs w:val="28"/>
        </w:rPr>
      </w:pPr>
      <w:r>
        <w:rPr>
          <w:sz w:val="28"/>
          <w:szCs w:val="28"/>
        </w:rPr>
        <w:t>水体富营养化、水华、赤潮、水污染生态学和生物修复理论；环境影响评价</w:t>
      </w:r>
    </w:p>
    <w:p>
      <w:pPr>
        <w:spacing w:line="360" w:lineRule="auto"/>
        <w:ind w:firstLine="498" w:firstLineChars="177"/>
        <w:rPr>
          <w:b/>
          <w:bCs/>
          <w:sz w:val="28"/>
          <w:szCs w:val="28"/>
        </w:rPr>
      </w:pPr>
      <w:r>
        <w:rPr>
          <w:b/>
          <w:bCs/>
          <w:sz w:val="28"/>
          <w:szCs w:val="28"/>
        </w:rPr>
        <w:t>第八章 水生生物资源利用与保护</w:t>
      </w:r>
    </w:p>
    <w:p>
      <w:pPr>
        <w:spacing w:line="360" w:lineRule="auto"/>
        <w:ind w:firstLine="495" w:firstLineChars="177"/>
        <w:rPr>
          <w:sz w:val="28"/>
          <w:szCs w:val="28"/>
        </w:rPr>
      </w:pPr>
      <w:r>
        <w:rPr>
          <w:sz w:val="28"/>
          <w:szCs w:val="28"/>
        </w:rPr>
        <w:t>水生生物资源的保护；水域生态系统的生物多样性及其保护；生物入侵；引入种的生态风险分析；水域引种驯化的原理和原则</w:t>
      </w:r>
    </w:p>
    <w:p>
      <w:pPr>
        <w:spacing w:line="360" w:lineRule="auto"/>
        <w:ind w:firstLine="498" w:firstLineChars="177"/>
        <w:rPr>
          <w:b/>
          <w:bCs/>
          <w:sz w:val="28"/>
          <w:szCs w:val="28"/>
        </w:rPr>
      </w:pPr>
      <w:r>
        <w:rPr>
          <w:b/>
          <w:bCs/>
          <w:sz w:val="28"/>
          <w:szCs w:val="28"/>
        </w:rPr>
        <w:t>第九章 水域生态系统服务、健康评价及健康养殖</w:t>
      </w:r>
    </w:p>
    <w:p>
      <w:pPr>
        <w:spacing w:line="360" w:lineRule="auto"/>
        <w:ind w:firstLine="495" w:firstLineChars="177"/>
        <w:rPr>
          <w:sz w:val="28"/>
          <w:szCs w:val="28"/>
        </w:rPr>
      </w:pPr>
      <w:r>
        <w:rPr>
          <w:sz w:val="28"/>
          <w:szCs w:val="28"/>
        </w:rPr>
        <w:t>水域生态系统服务、水域生态系统健康评价；水产养殖容量与水产健康养殖</w:t>
      </w:r>
    </w:p>
    <w:p>
      <w:pPr>
        <w:spacing w:line="360" w:lineRule="auto"/>
        <w:ind w:firstLine="498" w:firstLineChars="177"/>
        <w:rPr>
          <w:b/>
          <w:bCs/>
          <w:sz w:val="28"/>
          <w:szCs w:val="28"/>
        </w:rPr>
      </w:pPr>
      <w:r>
        <w:rPr>
          <w:b/>
          <w:bCs/>
          <w:sz w:val="28"/>
          <w:szCs w:val="28"/>
        </w:rPr>
        <w:t>第十章 渔业资源管理及可持续利用</w:t>
      </w:r>
    </w:p>
    <w:p>
      <w:pPr>
        <w:spacing w:line="360" w:lineRule="auto"/>
        <w:ind w:firstLine="495" w:firstLineChars="177"/>
        <w:rPr>
          <w:sz w:val="28"/>
          <w:szCs w:val="28"/>
        </w:rPr>
      </w:pPr>
      <w:r>
        <w:rPr>
          <w:sz w:val="28"/>
          <w:szCs w:val="28"/>
        </w:rPr>
        <w:t>渔业资源的管理；可持续发展</w:t>
      </w:r>
    </w:p>
    <w:p>
      <w:pPr>
        <w:spacing w:line="360" w:lineRule="auto"/>
        <w:ind w:firstLine="498" w:firstLineChars="177"/>
        <w:rPr>
          <w:b/>
          <w:bCs/>
          <w:sz w:val="28"/>
          <w:szCs w:val="28"/>
        </w:rPr>
      </w:pPr>
      <w:r>
        <w:rPr>
          <w:b/>
          <w:bCs/>
          <w:sz w:val="28"/>
          <w:szCs w:val="28"/>
        </w:rPr>
        <w:t>第十一章 全球变化对水域生态系统的影响及对策</w:t>
      </w:r>
    </w:p>
    <w:p>
      <w:pPr>
        <w:spacing w:line="360" w:lineRule="auto"/>
        <w:ind w:firstLine="495" w:firstLineChars="177"/>
        <w:rPr>
          <w:sz w:val="28"/>
          <w:szCs w:val="28"/>
        </w:rPr>
      </w:pPr>
      <w:r>
        <w:rPr>
          <w:sz w:val="28"/>
          <w:szCs w:val="28"/>
        </w:rPr>
        <w:t>全球变化的概念；全球变化对水域生态系统的影响；减缓全球变化的途径</w:t>
      </w:r>
    </w:p>
    <w:p>
      <w:pPr>
        <w:spacing w:line="360" w:lineRule="auto"/>
        <w:ind w:firstLine="495" w:firstLineChars="177"/>
        <w:rPr>
          <w:rFonts w:hint="eastAsia" w:eastAsia="宋体"/>
          <w:sz w:val="28"/>
          <w:szCs w:val="28"/>
          <w:lang w:val="en-US" w:eastAsia="zh-CN"/>
        </w:rPr>
      </w:pPr>
      <w:r>
        <w:rPr>
          <w:rFonts w:hint="eastAsia"/>
          <w:sz w:val="28"/>
          <w:szCs w:val="28"/>
        </w:rPr>
        <w:t xml:space="preserve"> </w:t>
      </w:r>
      <w:r>
        <w:rPr>
          <w:sz w:val="28"/>
          <w:szCs w:val="28"/>
        </w:rPr>
        <w:t xml:space="preserve">                                         </w:t>
      </w:r>
      <w:r>
        <w:rPr>
          <w:rFonts w:hint="eastAsia"/>
          <w:sz w:val="28"/>
          <w:szCs w:val="28"/>
          <w:lang w:val="en-US" w:eastAsia="zh-CN"/>
        </w:rPr>
        <w:t xml:space="preserve"> </w:t>
      </w:r>
      <w:bookmarkStart w:id="0" w:name="_GoBack"/>
      <w:bookmarkEnd w:id="0"/>
    </w:p>
    <w:sectPr>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E21C2"/>
    <w:multiLevelType w:val="multilevel"/>
    <w:tmpl w:val="461E21C2"/>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1069"/>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976C3"/>
    <w:rsid w:val="004B38BC"/>
    <w:rsid w:val="004B5C0D"/>
    <w:rsid w:val="004C2199"/>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071"/>
    <w:rsid w:val="006F4976"/>
    <w:rsid w:val="006F7659"/>
    <w:rsid w:val="00710C8D"/>
    <w:rsid w:val="00715B0D"/>
    <w:rsid w:val="00717389"/>
    <w:rsid w:val="00720D86"/>
    <w:rsid w:val="00722768"/>
    <w:rsid w:val="00722883"/>
    <w:rsid w:val="00733720"/>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5960"/>
    <w:rsid w:val="00AC6EE3"/>
    <w:rsid w:val="00AD0F3E"/>
    <w:rsid w:val="00AD6852"/>
    <w:rsid w:val="00AE627C"/>
    <w:rsid w:val="00AE64A4"/>
    <w:rsid w:val="00AF3549"/>
    <w:rsid w:val="00AF3616"/>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09C"/>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EF5B71"/>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01743DA8"/>
    <w:rsid w:val="01FE6284"/>
    <w:rsid w:val="02C8468B"/>
    <w:rsid w:val="03441280"/>
    <w:rsid w:val="037832DD"/>
    <w:rsid w:val="03A31482"/>
    <w:rsid w:val="04024C43"/>
    <w:rsid w:val="053F4B4A"/>
    <w:rsid w:val="056011E7"/>
    <w:rsid w:val="09556A33"/>
    <w:rsid w:val="09C41322"/>
    <w:rsid w:val="0ABF29D0"/>
    <w:rsid w:val="0ACF76FC"/>
    <w:rsid w:val="0B093477"/>
    <w:rsid w:val="0B947A89"/>
    <w:rsid w:val="0C8B72E0"/>
    <w:rsid w:val="0D64750C"/>
    <w:rsid w:val="0D7C46FB"/>
    <w:rsid w:val="0E1935D1"/>
    <w:rsid w:val="0F1D0FEE"/>
    <w:rsid w:val="1018575E"/>
    <w:rsid w:val="1181205F"/>
    <w:rsid w:val="118D2CA9"/>
    <w:rsid w:val="12BA328E"/>
    <w:rsid w:val="14407B5E"/>
    <w:rsid w:val="149D6E20"/>
    <w:rsid w:val="16734BDC"/>
    <w:rsid w:val="17D73696"/>
    <w:rsid w:val="17DA2F93"/>
    <w:rsid w:val="193278C5"/>
    <w:rsid w:val="19B13F87"/>
    <w:rsid w:val="1A970B43"/>
    <w:rsid w:val="1AE17DE3"/>
    <w:rsid w:val="1B38618A"/>
    <w:rsid w:val="1B4824A7"/>
    <w:rsid w:val="1B5D064D"/>
    <w:rsid w:val="1BC85FBD"/>
    <w:rsid w:val="1C1A5CE0"/>
    <w:rsid w:val="1C320B3B"/>
    <w:rsid w:val="1D13066F"/>
    <w:rsid w:val="1D315AF0"/>
    <w:rsid w:val="1D585852"/>
    <w:rsid w:val="1F0911CF"/>
    <w:rsid w:val="200413B1"/>
    <w:rsid w:val="20131A51"/>
    <w:rsid w:val="210019D4"/>
    <w:rsid w:val="21296B83"/>
    <w:rsid w:val="2204306F"/>
    <w:rsid w:val="223411EE"/>
    <w:rsid w:val="23432543"/>
    <w:rsid w:val="26AA45A0"/>
    <w:rsid w:val="2799793B"/>
    <w:rsid w:val="27BD0834"/>
    <w:rsid w:val="28CC4D63"/>
    <w:rsid w:val="2A1F15EF"/>
    <w:rsid w:val="2AAA0F04"/>
    <w:rsid w:val="2B025CBE"/>
    <w:rsid w:val="2BD517FB"/>
    <w:rsid w:val="2C4D7176"/>
    <w:rsid w:val="2D2C746F"/>
    <w:rsid w:val="2D790FB4"/>
    <w:rsid w:val="2DC66F57"/>
    <w:rsid w:val="2E00207A"/>
    <w:rsid w:val="2ECE640F"/>
    <w:rsid w:val="2F0C0429"/>
    <w:rsid w:val="2FE24EB4"/>
    <w:rsid w:val="301E2FB8"/>
    <w:rsid w:val="307E0BEA"/>
    <w:rsid w:val="31597F2B"/>
    <w:rsid w:val="31652F32"/>
    <w:rsid w:val="3175415E"/>
    <w:rsid w:val="32D36964"/>
    <w:rsid w:val="334322ED"/>
    <w:rsid w:val="334F2F51"/>
    <w:rsid w:val="34022BA7"/>
    <w:rsid w:val="35790505"/>
    <w:rsid w:val="36DB2934"/>
    <w:rsid w:val="39453A52"/>
    <w:rsid w:val="39627BF1"/>
    <w:rsid w:val="39F36121"/>
    <w:rsid w:val="3AE96684"/>
    <w:rsid w:val="3B387E07"/>
    <w:rsid w:val="3B822ECC"/>
    <w:rsid w:val="3D132A11"/>
    <w:rsid w:val="3F156CC5"/>
    <w:rsid w:val="402721F3"/>
    <w:rsid w:val="40647062"/>
    <w:rsid w:val="409F4323"/>
    <w:rsid w:val="43624378"/>
    <w:rsid w:val="43A551AE"/>
    <w:rsid w:val="43D07284"/>
    <w:rsid w:val="44805BCC"/>
    <w:rsid w:val="45021AE0"/>
    <w:rsid w:val="461A7810"/>
    <w:rsid w:val="479A2D85"/>
    <w:rsid w:val="487875F3"/>
    <w:rsid w:val="48EA55B8"/>
    <w:rsid w:val="49D614B7"/>
    <w:rsid w:val="49FF49ED"/>
    <w:rsid w:val="4AFA6B3E"/>
    <w:rsid w:val="4BF121CF"/>
    <w:rsid w:val="4C112CF8"/>
    <w:rsid w:val="4D3E34D9"/>
    <w:rsid w:val="4D43327E"/>
    <w:rsid w:val="4D9B59E1"/>
    <w:rsid w:val="4DF9236D"/>
    <w:rsid w:val="4E7B0596"/>
    <w:rsid w:val="4F5020A0"/>
    <w:rsid w:val="50204007"/>
    <w:rsid w:val="506E5041"/>
    <w:rsid w:val="527E7117"/>
    <w:rsid w:val="52E87394"/>
    <w:rsid w:val="53AA69F4"/>
    <w:rsid w:val="54257E53"/>
    <w:rsid w:val="543C5BCE"/>
    <w:rsid w:val="55223D5B"/>
    <w:rsid w:val="555809C1"/>
    <w:rsid w:val="585B4102"/>
    <w:rsid w:val="589909E8"/>
    <w:rsid w:val="5940047C"/>
    <w:rsid w:val="5946467A"/>
    <w:rsid w:val="5CEC0362"/>
    <w:rsid w:val="5D226586"/>
    <w:rsid w:val="5D2354A4"/>
    <w:rsid w:val="5F11230A"/>
    <w:rsid w:val="5F486248"/>
    <w:rsid w:val="60156F82"/>
    <w:rsid w:val="636C0698"/>
    <w:rsid w:val="649C5F30"/>
    <w:rsid w:val="65AB124F"/>
    <w:rsid w:val="66013F92"/>
    <w:rsid w:val="666A50D1"/>
    <w:rsid w:val="66842351"/>
    <w:rsid w:val="67344091"/>
    <w:rsid w:val="67616DD2"/>
    <w:rsid w:val="676701AB"/>
    <w:rsid w:val="68E142FC"/>
    <w:rsid w:val="69AC4290"/>
    <w:rsid w:val="69F55534"/>
    <w:rsid w:val="6A084EC2"/>
    <w:rsid w:val="6AD00FEE"/>
    <w:rsid w:val="6B63780E"/>
    <w:rsid w:val="6B8307D1"/>
    <w:rsid w:val="6C004A24"/>
    <w:rsid w:val="6DD814D1"/>
    <w:rsid w:val="6F9C1648"/>
    <w:rsid w:val="721B59C0"/>
    <w:rsid w:val="72F3018C"/>
    <w:rsid w:val="73B20129"/>
    <w:rsid w:val="73CB1619"/>
    <w:rsid w:val="73F57705"/>
    <w:rsid w:val="75BD6337"/>
    <w:rsid w:val="75C072A6"/>
    <w:rsid w:val="76314E47"/>
    <w:rsid w:val="76E13182"/>
    <w:rsid w:val="783C3476"/>
    <w:rsid w:val="79670542"/>
    <w:rsid w:val="798F5D3B"/>
    <w:rsid w:val="7A9B36D9"/>
    <w:rsid w:val="7B486692"/>
    <w:rsid w:val="7C5F1CE0"/>
    <w:rsid w:val="7DF10063"/>
    <w:rsid w:val="7E067ADB"/>
    <w:rsid w:val="7E62360E"/>
    <w:rsid w:val="7F8E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nhideWhenUsed/>
    <w:qFormat/>
    <w:uiPriority w:val="99"/>
    <w:pPr>
      <w:spacing w:beforeLines="30" w:line="480" w:lineRule="exact"/>
      <w:ind w:firstLine="520" w:firstLineChars="200"/>
    </w:pPr>
    <w:rPr>
      <w:rFonts w:hAnsi="宋体"/>
      <w:sz w:val="26"/>
      <w:szCs w:val="32"/>
    </w:r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页眉 字符"/>
    <w:link w:val="5"/>
    <w:qFormat/>
    <w:uiPriority w:val="0"/>
    <w:rPr>
      <w:kern w:val="2"/>
      <w:sz w:val="18"/>
      <w:szCs w:val="18"/>
    </w:rPr>
  </w:style>
  <w:style w:type="character" w:customStyle="1" w:styleId="11">
    <w:name w:val="页脚 字符"/>
    <w:link w:val="4"/>
    <w:uiPriority w:val="0"/>
    <w:rPr>
      <w:kern w:val="2"/>
      <w:sz w:val="18"/>
      <w:szCs w:val="18"/>
    </w:rPr>
  </w:style>
  <w:style w:type="character" w:customStyle="1" w:styleId="12">
    <w:name w:val="apple-converted-space"/>
    <w:basedOn w:val="8"/>
    <w:qFormat/>
    <w:uiPriority w:val="0"/>
  </w:style>
  <w:style w:type="character" w:customStyle="1" w:styleId="13">
    <w:name w:val="正文文本缩进 字符"/>
    <w:link w:val="2"/>
    <w:qFormat/>
    <w:uiPriority w:val="99"/>
    <w:rPr>
      <w:rFonts w:hAnsi="宋体"/>
      <w:kern w:val="2"/>
      <w:sz w:val="26"/>
      <w:szCs w:val="32"/>
    </w:rPr>
  </w:style>
  <w:style w:type="paragraph" w:customStyle="1" w:styleId="1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2</Pages>
  <Words>174</Words>
  <Characters>992</Characters>
  <Lines>8</Lines>
  <Paragraphs>2</Paragraphs>
  <TotalTime>154</TotalTime>
  <ScaleCrop>false</ScaleCrop>
  <LinksUpToDate>false</LinksUpToDate>
  <CharactersWithSpaces>1164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2019-07-01T00:09:00Z</dcterms:created>
  <dc:creator>李丽兰</dc:creator>
  <cp:lastModifiedBy>Administrator</cp:lastModifiedBy>
  <cp:lastPrinted>2018-07-16T02:14:00Z</cp:lastPrinted>
  <dcterms:modified xsi:type="dcterms:W3CDTF">2020-08-26T07:46:06Z</dcterms:modified>
  <dc:title>关于编制2002年硕士研究生招生专业目录的通知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