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color w:val="000000"/>
          <w:kern w:val="0"/>
          <w:sz w:val="15"/>
          <w:szCs w:val="15"/>
        </w:rPr>
      </w:pPr>
    </w:p>
    <w:p>
      <w:pPr>
        <w:pStyle w:val="3"/>
        <w:snapToGrid w:val="0"/>
        <w:spacing w:before="240" w:beforeLines="100" w:after="240" w:afterLines="100" w:line="240" w:lineRule="exact"/>
        <w:ind w:firstLine="0" w:firstLineChars="0"/>
        <w:rPr>
          <w:rFonts w:ascii="黑体" w:hAnsi="黑体" w:eastAsia="黑体"/>
          <w:color w:val="000000"/>
          <w:kern w:val="0"/>
          <w:sz w:val="15"/>
          <w:szCs w:val="15"/>
        </w:rPr>
      </w:pPr>
      <w:r>
        <w:rPr>
          <w:rFonts w:ascii="黑体" w:hAnsi="黑体" w:eastAsia="黑体"/>
          <w:color w:val="000000"/>
          <w:kern w:val="0"/>
          <w:sz w:val="15"/>
          <w:szCs w:val="15"/>
        </w:rPr>
        <w:t>附件</w:t>
      </w:r>
      <w:r>
        <w:rPr>
          <w:rFonts w:hint="eastAsia" w:ascii="黑体" w:hAnsi="黑体" w:eastAsia="黑体"/>
          <w:color w:val="000000"/>
          <w:kern w:val="0"/>
          <w:sz w:val="15"/>
          <w:szCs w:val="15"/>
        </w:rPr>
        <w:t>3：</w:t>
      </w:r>
    </w:p>
    <w:p>
      <w:pPr>
        <w:spacing w:line="360" w:lineRule="auto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sz w:val="36"/>
          <w:szCs w:val="36"/>
        </w:rPr>
        <w:t>年全国硕士研究生招生考试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生物资源学导论</w:t>
      </w:r>
    </w:p>
    <w:p>
      <w:pPr>
        <w:spacing w:line="360" w:lineRule="auto"/>
        <w:jc w:val="center"/>
      </w:pPr>
      <w:r>
        <w:rPr>
          <w:rFonts w:hint="eastAsia" w:ascii="黑体" w:hAnsi="黑体" w:eastAsia="黑体"/>
          <w:sz w:val="36"/>
          <w:szCs w:val="36"/>
        </w:rPr>
        <w:t>考试大纲</w:t>
      </w:r>
    </w:p>
    <w:p>
      <w:pPr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Ⅰ</w:t>
      </w:r>
      <w:r>
        <w:rPr>
          <w:rFonts w:ascii="黑体" w:hAnsi="黑体" w:eastAsia="黑体"/>
        </w:rPr>
        <w:t>．考试性质</w:t>
      </w:r>
    </w:p>
    <w:p>
      <w:pPr>
        <w:spacing w:line="360" w:lineRule="auto"/>
        <w:rPr>
          <w:rFonts w:hint="eastAsia"/>
          <w:szCs w:val="22"/>
        </w:rPr>
      </w:pPr>
      <w:r>
        <w:t>　 　</w:t>
      </w:r>
      <w:r>
        <w:rPr>
          <w:rFonts w:hint="eastAsia"/>
        </w:rPr>
        <w:t>本考试是一种测试应试者</w:t>
      </w:r>
      <w:r>
        <w:rPr>
          <w:rFonts w:hint="eastAsia"/>
          <w:lang w:val="en-US" w:eastAsia="zh-CN"/>
        </w:rPr>
        <w:t>生物资源学</w:t>
      </w:r>
      <w:r>
        <w:rPr>
          <w:rFonts w:hint="eastAsia"/>
        </w:rPr>
        <w:t>基本知识以及综合运用能力的水平考试。《</w:t>
      </w:r>
      <w:r>
        <w:rPr>
          <w:rFonts w:hint="eastAsia"/>
          <w:lang w:val="en-US" w:eastAsia="zh-CN"/>
        </w:rPr>
        <w:t>生物资源学导论</w:t>
      </w:r>
      <w:r>
        <w:rPr>
          <w:rFonts w:hint="eastAsia"/>
        </w:rPr>
        <w:t>》适用于湖南农业大学招</w:t>
      </w:r>
      <w:r>
        <w:rPr>
          <w:rFonts w:hint="eastAsia"/>
          <w:szCs w:val="22"/>
        </w:rPr>
        <w:t>收资源利用与植物保护</w:t>
      </w:r>
      <w:r>
        <w:rPr>
          <w:rFonts w:hint="eastAsia"/>
          <w:szCs w:val="22"/>
          <w:lang w:val="en-US" w:eastAsia="zh-CN"/>
        </w:rPr>
        <w:t>农业</w:t>
      </w:r>
      <w:r>
        <w:rPr>
          <w:rFonts w:hint="eastAsia"/>
          <w:szCs w:val="22"/>
        </w:rPr>
        <w:t>硕士专业硕士生的入学考试。考试范围包括使学生掌握</w:t>
      </w:r>
      <w:r>
        <w:rPr>
          <w:rFonts w:hint="eastAsia"/>
          <w:szCs w:val="22"/>
          <w:lang w:val="en-US" w:eastAsia="zh-CN"/>
        </w:rPr>
        <w:t>生物资源</w:t>
      </w:r>
      <w:r>
        <w:rPr>
          <w:rFonts w:hint="eastAsia"/>
          <w:szCs w:val="22"/>
        </w:rPr>
        <w:t>的概念</w:t>
      </w:r>
      <w:r>
        <w:rPr>
          <w:rFonts w:hint="eastAsia"/>
          <w:szCs w:val="22"/>
          <w:lang w:val="en-US" w:eastAsia="zh-CN"/>
        </w:rPr>
        <w:t>与内涵</w:t>
      </w:r>
      <w:r>
        <w:rPr>
          <w:rFonts w:hint="eastAsia"/>
          <w:szCs w:val="22"/>
        </w:rPr>
        <w:t>，</w:t>
      </w:r>
      <w:r>
        <w:rPr>
          <w:rFonts w:hint="eastAsia"/>
          <w:szCs w:val="22"/>
          <w:lang w:val="en-US" w:eastAsia="zh-CN"/>
        </w:rPr>
        <w:t>生物质资源、生物遗传资源和生物信息资源的特点以及生物资源的基本属性，在此基础上能够阐述生物资</w:t>
      </w:r>
      <w:r>
        <w:rPr>
          <w:rFonts w:hint="eastAsia"/>
          <w:szCs w:val="22"/>
          <w:lang w:val="en-US" w:eastAsia="zh-CN"/>
        </w:rPr>
        <w:t>源保护和开发利用的产业技术与发展前景。</w:t>
      </w:r>
      <w:r>
        <w:rPr>
          <w:rFonts w:hint="eastAsia"/>
          <w:szCs w:val="22"/>
        </w:rPr>
        <w:t>评价的标准为高等学校本科毕业生能达到及格或及格以上水平，以保证被录取者具有扎实的</w:t>
      </w:r>
      <w:r>
        <w:rPr>
          <w:rFonts w:hint="eastAsia"/>
          <w:szCs w:val="22"/>
          <w:lang w:val="en-US" w:eastAsia="zh-CN"/>
        </w:rPr>
        <w:t>生物资源学</w:t>
      </w:r>
      <w:r>
        <w:rPr>
          <w:rFonts w:hint="eastAsia"/>
          <w:szCs w:val="22"/>
        </w:rPr>
        <w:t>基础理论知识，有利于学校在研究生招生中的择优选拨。</w:t>
      </w:r>
    </w:p>
    <w:p>
      <w:pPr>
        <w:spacing w:line="360" w:lineRule="auto"/>
        <w:rPr>
          <w:rFonts w:hint="eastAsia"/>
          <w:szCs w:val="22"/>
        </w:rPr>
      </w:pPr>
    </w:p>
    <w:p>
      <w:pPr>
        <w:spacing w:line="360" w:lineRule="auto"/>
        <w:rPr>
          <w:rFonts w:hint="eastAsia"/>
          <w:szCs w:val="22"/>
        </w:rPr>
      </w:pPr>
      <w:r>
        <w:rPr>
          <w:rFonts w:hint="eastAsia"/>
          <w:szCs w:val="22"/>
        </w:rPr>
        <w:t>Ⅱ．考查目标</w:t>
      </w:r>
    </w:p>
    <w:p>
      <w:pPr>
        <w:spacing w:line="360" w:lineRule="auto"/>
        <w:ind w:firstLine="420" w:firstLineChars="200"/>
      </w:pPr>
      <w:bookmarkStart w:id="0" w:name="_GoBack"/>
      <w:bookmarkEnd w:id="0"/>
      <w:r>
        <w:rPr>
          <w:rFonts w:hint="eastAsia"/>
          <w:szCs w:val="22"/>
          <w:lang w:val="en-US" w:eastAsia="zh-CN"/>
        </w:rPr>
        <w:t>生物资源学作为现代生命科学、资源科学、信息科学、健康科学和工程科学等相关领域继承、交叉和衍生出的新兴学科</w:t>
      </w:r>
      <w:r>
        <w:rPr>
          <w:rFonts w:hint="eastAsia"/>
          <w:szCs w:val="22"/>
        </w:rPr>
        <w:t>。本课程考试目的是考察考生是否具备资源利用与植物保护</w:t>
      </w:r>
      <w:r>
        <w:rPr>
          <w:rFonts w:hint="eastAsia"/>
          <w:szCs w:val="22"/>
          <w:lang w:val="en-US" w:eastAsia="zh-CN"/>
        </w:rPr>
        <w:t>农业</w:t>
      </w:r>
      <w:r>
        <w:rPr>
          <w:rFonts w:hint="eastAsia"/>
        </w:rPr>
        <w:t>硕士专业所需的基本</w:t>
      </w:r>
      <w:r>
        <w:rPr>
          <w:rFonts w:hint="eastAsia"/>
          <w:lang w:val="en-US" w:eastAsia="zh-CN"/>
        </w:rPr>
        <w:t>生物资源</w:t>
      </w:r>
      <w:r>
        <w:rPr>
          <w:rFonts w:hint="eastAsia"/>
        </w:rPr>
        <w:t>相关知识。</w:t>
      </w:r>
    </w:p>
    <w:p>
      <w:pPr>
        <w:spacing w:line="360" w:lineRule="auto"/>
        <w:ind w:firstLine="420"/>
      </w:pPr>
    </w:p>
    <w:p>
      <w:pPr>
        <w:spacing w:line="360" w:lineRule="auto"/>
        <w:rPr>
          <w:rFonts w:asciiTheme="minorHAnsi" w:hAnsiTheme="minorHAnsi" w:eastAsiaTheme="minorEastAsia"/>
        </w:rPr>
      </w:pPr>
      <w:r>
        <w:rPr>
          <w:rFonts w:hint="eastAsia" w:ascii="黑体" w:hAnsi="黑体" w:eastAsia="黑体"/>
        </w:rPr>
        <w:t>Ⅲ</w:t>
      </w:r>
      <w:r>
        <w:rPr>
          <w:rFonts w:ascii="黑体" w:hAnsi="黑体" w:eastAsia="黑体"/>
        </w:rPr>
        <w:t>．考试形式和试卷结构</w:t>
      </w:r>
    </w:p>
    <w:p>
      <w:pPr>
        <w:spacing w:line="360" w:lineRule="auto"/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一、试卷满分及考试时间</w:t>
      </w:r>
    </w:p>
    <w:p>
      <w:pPr>
        <w:spacing w:line="360" w:lineRule="auto"/>
        <w:ind w:firstLine="420"/>
      </w:pPr>
      <w:r>
        <w:rPr>
          <w:rFonts w:hint="eastAsia"/>
        </w:rPr>
        <w:t>本考试采取客观试题与主观试题相结合的方法，总分为150分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时间180分。</w:t>
      </w:r>
    </w:p>
    <w:p>
      <w:pPr>
        <w:spacing w:line="360" w:lineRule="auto"/>
        <w:ind w:firstLine="420"/>
        <w:rPr>
          <w:rFonts w:ascii="华文中宋" w:hAnsi="华文中宋" w:eastAsia="华文中宋"/>
          <w:b/>
        </w:rPr>
      </w:pPr>
      <w:r>
        <w:rPr>
          <w:rFonts w:ascii="华文中宋" w:hAnsi="华文中宋" w:eastAsia="华文中宋"/>
          <w:b/>
        </w:rPr>
        <w:t>二、答题方式</w:t>
      </w:r>
    </w:p>
    <w:p>
      <w:pPr>
        <w:spacing w:line="360" w:lineRule="auto"/>
      </w:pPr>
      <w:r>
        <w:t>　　答题方式为闭卷、笔试。</w:t>
      </w:r>
    </w:p>
    <w:p>
      <w:pPr>
        <w:spacing w:line="360" w:lineRule="auto"/>
        <w:rPr>
          <w:rFonts w:ascii="华文中宋" w:hAnsi="华文中宋" w:eastAsia="华文中宋"/>
          <w:b/>
        </w:rPr>
      </w:pPr>
      <w:r>
        <w:t>　　</w:t>
      </w:r>
      <w:r>
        <w:rPr>
          <w:rFonts w:ascii="华文中宋" w:hAnsi="华文中宋" w:eastAsia="华文中宋"/>
          <w:b/>
        </w:rPr>
        <w:t>三、试卷题型结构</w:t>
      </w:r>
    </w:p>
    <w:p>
      <w:pPr>
        <w:spacing w:line="360" w:lineRule="auto"/>
      </w:pPr>
      <w:r>
        <w:t>　　单项选择题</w:t>
      </w:r>
      <w:r>
        <w:rPr>
          <w:rFonts w:hint="eastAsia"/>
        </w:rPr>
        <w:t>20</w:t>
      </w:r>
      <w:r>
        <w:t>分（1</w:t>
      </w:r>
      <w:r>
        <w:rPr>
          <w:rFonts w:hint="eastAsia"/>
        </w:rPr>
        <w:t>0</w:t>
      </w:r>
      <w:r>
        <w:t>小题，每小题</w:t>
      </w:r>
      <w:r>
        <w:rPr>
          <w:rFonts w:hint="eastAsia"/>
        </w:rPr>
        <w:t>2</w:t>
      </w:r>
      <w:r>
        <w:t>分）</w:t>
      </w:r>
    </w:p>
    <w:p>
      <w:pPr>
        <w:spacing w:line="360" w:lineRule="auto"/>
      </w:pPr>
      <w:r>
        <w:t>　　</w:t>
      </w:r>
      <w:r>
        <w:rPr>
          <w:rFonts w:hint="eastAsia"/>
        </w:rPr>
        <w:t>填空题40</w:t>
      </w:r>
      <w:r>
        <w:t>分（</w:t>
      </w:r>
      <w:r>
        <w:rPr>
          <w:rFonts w:hint="eastAsia"/>
        </w:rPr>
        <w:t>20空</w:t>
      </w:r>
      <w:r>
        <w:t>，每</w:t>
      </w:r>
      <w:r>
        <w:rPr>
          <w:rFonts w:hint="eastAsia"/>
        </w:rPr>
        <w:t>空</w:t>
      </w:r>
      <w:r>
        <w:t>2分）</w:t>
      </w:r>
    </w:p>
    <w:p>
      <w:pPr>
        <w:spacing w:line="360" w:lineRule="auto"/>
        <w:ind w:firstLine="420"/>
      </w:pPr>
      <w:r>
        <w:rPr>
          <w:rFonts w:hint="eastAsia"/>
        </w:rPr>
        <w:t>名词解释3</w:t>
      </w:r>
      <w:r>
        <w:t>0分</w:t>
      </w:r>
      <w:r>
        <w:rPr>
          <w:rFonts w:hint="eastAsia"/>
        </w:rPr>
        <w:t>（6小题，每小题5分）</w:t>
      </w:r>
    </w:p>
    <w:p>
      <w:pPr>
        <w:spacing w:line="360" w:lineRule="auto"/>
        <w:ind w:firstLine="420"/>
      </w:pPr>
      <w:r>
        <w:rPr>
          <w:rFonts w:hint="eastAsia"/>
        </w:rPr>
        <w:t>问答题60分（4小题，每小题15分）</w:t>
      </w:r>
    </w:p>
    <w:p>
      <w:pPr>
        <w:spacing w:line="360" w:lineRule="auto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Ⅳ</w:t>
      </w:r>
      <w:r>
        <w:rPr>
          <w:rFonts w:ascii="黑体" w:hAnsi="黑体" w:eastAsia="黑体"/>
          <w:highlight w:val="none"/>
        </w:rPr>
        <w:t>．考</w:t>
      </w:r>
      <w:r>
        <w:rPr>
          <w:rFonts w:hint="eastAsia" w:ascii="黑体" w:hAnsi="黑体" w:eastAsia="黑体"/>
          <w:highlight w:val="none"/>
        </w:rPr>
        <w:t>试</w:t>
      </w:r>
      <w:r>
        <w:rPr>
          <w:rFonts w:ascii="黑体" w:hAnsi="黑体" w:eastAsia="黑体"/>
          <w:highlight w:val="none"/>
        </w:rPr>
        <w:t>内容</w:t>
      </w:r>
    </w:p>
    <w:p>
      <w:pPr>
        <w:spacing w:line="360" w:lineRule="auto"/>
      </w:pPr>
      <w:r>
        <w:rPr>
          <w:rFonts w:hint="eastAsia"/>
        </w:rPr>
        <w:t>第一章   绪论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生物资源与生物资源学</w:t>
      </w:r>
      <w:r>
        <w:rPr>
          <w:rFonts w:hint="eastAsia"/>
        </w:rPr>
        <w:t>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  <w:lang w:val="en-US" w:eastAsia="zh-CN"/>
        </w:rPr>
        <w:t>生物资源的内涵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3.生物资源的保护与挑战</w:t>
      </w:r>
      <w:r>
        <w:rPr>
          <w:rFonts w:hint="eastAsia"/>
        </w:rPr>
        <w:t>（重点）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第二章  </w:t>
      </w:r>
      <w:r>
        <w:rPr>
          <w:rFonts w:hint="eastAsia"/>
          <w:lang w:val="en-US" w:eastAsia="zh-CN"/>
        </w:rPr>
        <w:t>生物质资源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生物质资源概念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木质纤维素的特点及其材料化利用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生物活性物质的种类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加工副产物的资源化利用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生物质能的定义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第三章 </w:t>
      </w:r>
      <w:r>
        <w:rPr>
          <w:rFonts w:hint="eastAsia"/>
          <w:lang w:val="en-US" w:eastAsia="zh-CN"/>
        </w:rPr>
        <w:t>生物遗传资源</w:t>
      </w:r>
    </w:p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生物遗传资源概念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2.种质资源与品质资源的区别。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种质资源收集的基本原则及主要途径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微生物资源存在形式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微生物菌种鉴定工作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我国主要作物资源种类</w:t>
      </w:r>
      <w:r>
        <w:rPr>
          <w:rFonts w:hint="eastAsia"/>
        </w:rPr>
        <w:t>（重点）。</w:t>
      </w:r>
    </w:p>
    <w:p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野生动物与家养动物的区别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 xml:space="preserve">第四章 </w:t>
      </w:r>
      <w:r>
        <w:rPr>
          <w:rFonts w:hint="eastAsia"/>
          <w:color w:val="auto"/>
          <w:lang w:val="en-US" w:eastAsia="zh-CN"/>
        </w:rPr>
        <w:t>生物信息资源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生物信息资源概念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生物信息资源的主要内涵与特征</w:t>
      </w:r>
      <w:r>
        <w:rPr>
          <w:rFonts w:hint="eastAsia"/>
        </w:rPr>
        <w:t>（重点）。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3.生物大数据的特点。</w:t>
      </w:r>
    </w:p>
    <w:p>
      <w:pPr>
        <w:spacing w:line="360" w:lineRule="auto"/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4.主要生物信息资源数据库的种类与特征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第五章 生物资源的属性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生物资源概念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生物资源的属性（重点）</w:t>
      </w:r>
      <w:r>
        <w:rPr>
          <w:rFonts w:hint="eastAsia"/>
        </w:rPr>
        <w:t>。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3.生命现象、生态系统和生物圈（重点）</w:t>
      </w:r>
      <w:r>
        <w:rPr>
          <w:rFonts w:hint="eastAsia"/>
        </w:rPr>
        <w:t>。</w:t>
      </w:r>
    </w:p>
    <w:p>
      <w:pPr>
        <w:spacing w:line="360" w:lineRule="auto"/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4.氮循环主要过程。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生物资源的保护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生物多样性概念。</w:t>
      </w:r>
    </w:p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2.生物多样性的资源价值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3.生物资源保护方式。</w:t>
      </w:r>
    </w:p>
    <w:p>
      <w:pPr>
        <w:spacing w:line="360" w:lineRule="auto"/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生物入侵的危害与防控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5.品种的概念与主要特性。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6.品种审定的程序。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7.品种保护的法律途径。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8.植物保护的定义。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9.植物的敌害微生物及各自特点</w:t>
      </w:r>
      <w:r>
        <w:rPr>
          <w:rFonts w:hint="eastAsia"/>
        </w:rPr>
        <w:t>（重点）</w:t>
      </w:r>
      <w:r>
        <w:rPr>
          <w:rFonts w:hint="eastAsia"/>
          <w:lang w:val="en-US" w:eastAsia="zh-CN"/>
        </w:rPr>
        <w:t>。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10.植物保护的主要措施</w:t>
      </w:r>
    </w:p>
    <w:p>
      <w:pPr>
        <w:spacing w:line="360" w:lineRule="auto"/>
        <w:rPr>
          <w:rFonts w:hint="default"/>
          <w:lang w:val="en-US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生物资源工程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1.</w:t>
      </w:r>
      <w:r>
        <w:rPr>
          <w:rFonts w:hint="eastAsia"/>
          <w:lang w:val="en-US" w:eastAsia="zh-CN"/>
        </w:rPr>
        <w:t>生物资源工程概念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分子育种的定义，主要方法，及与常规育种的区别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动物、植物与微生物生物反应器的主要特点与区别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生物活性物质工程常见技术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常见生物质主要处理方式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园艺工程概念及主要内容</w:t>
      </w:r>
      <w:r>
        <w:rPr>
          <w:rFonts w:hint="eastAsia"/>
        </w:rPr>
        <w:t>（重点）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生物基化学品</w:t>
      </w:r>
    </w:p>
    <w:p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生物基化学品的定义</w:t>
      </w:r>
      <w:r>
        <w:rPr>
          <w:rFonts w:hint="eastAsia"/>
        </w:rPr>
        <w:t>。</w:t>
      </w:r>
    </w:p>
    <w:p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生物基化学品主要类型，分别对应哪些生物质原料</w:t>
      </w:r>
      <w:r>
        <w:rPr>
          <w:rFonts w:hint="eastAsia"/>
        </w:rPr>
        <w:t>（重点）。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九</w:t>
      </w:r>
      <w:r>
        <w:rPr>
          <w:rFonts w:hint="eastAsia"/>
        </w:rPr>
        <w:t xml:space="preserve">章 </w:t>
      </w:r>
      <w:r>
        <w:rPr>
          <w:rFonts w:hint="eastAsia"/>
          <w:lang w:val="en-US" w:eastAsia="zh-CN"/>
        </w:rPr>
        <w:t>海洋与滩涂生物质资源</w:t>
      </w:r>
      <w:r>
        <w:rPr>
          <w:rFonts w:hint="eastAsia"/>
        </w:rPr>
        <w:t xml:space="preserve"> 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海洋与滩涂植物分类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海洋与滩涂生物资源面临的挑战</w:t>
      </w:r>
      <w:r>
        <w:rPr>
          <w:rFonts w:hint="eastAsia"/>
        </w:rPr>
        <w:t>（重点）。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十</w:t>
      </w:r>
      <w:r>
        <w:rPr>
          <w:rFonts w:hint="eastAsia"/>
        </w:rPr>
        <w:t xml:space="preserve">章  </w:t>
      </w:r>
      <w:r>
        <w:rPr>
          <w:rFonts w:hint="eastAsia"/>
          <w:lang w:val="en-US" w:eastAsia="zh-CN"/>
        </w:rPr>
        <w:t>生物资源与大健康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生物资源与大健康产业及大健康产品的关系（</w:t>
      </w:r>
      <w:r>
        <w:rPr>
          <w:rFonts w:hint="eastAsia"/>
        </w:rPr>
        <w:t>重点</w:t>
      </w:r>
      <w:r>
        <w:rPr>
          <w:rFonts w:hint="eastAsia"/>
          <w:lang w:val="en-US" w:eastAsia="zh-CN"/>
        </w:rPr>
        <w:t>）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药食同源资源概念</w:t>
      </w:r>
      <w:r>
        <w:rPr>
          <w:rFonts w:hint="eastAsia"/>
          <w:lang w:eastAsia="zh-CN"/>
        </w:rPr>
        <w:t>。</w:t>
      </w:r>
    </w:p>
    <w:p>
      <w:pPr>
        <w:spacing w:line="360" w:lineRule="auto"/>
      </w:pPr>
    </w:p>
    <w:p>
      <w:pPr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Ⅴ.主要参考书目</w:t>
      </w:r>
    </w:p>
    <w:p>
      <w:pPr>
        <w:spacing w:line="360" w:lineRule="auto"/>
        <w:rPr>
          <w:rFonts w:hint="eastAsia"/>
          <w:szCs w:val="22"/>
        </w:rPr>
      </w:pPr>
      <w:r>
        <w:rPr>
          <w:rFonts w:hint="eastAsia"/>
          <w:szCs w:val="22"/>
        </w:rPr>
        <w:t>《</w:t>
      </w:r>
      <w:r>
        <w:rPr>
          <w:rFonts w:hint="eastAsia"/>
          <w:szCs w:val="22"/>
          <w:lang w:val="en-US" w:eastAsia="zh-CN"/>
        </w:rPr>
        <w:t>生物资源学导论</w:t>
      </w:r>
      <w:r>
        <w:rPr>
          <w:rFonts w:hint="eastAsia"/>
          <w:szCs w:val="22"/>
        </w:rPr>
        <w:t>》第</w:t>
      </w:r>
      <w:r>
        <w:rPr>
          <w:rFonts w:hint="eastAsia"/>
          <w:szCs w:val="22"/>
          <w:lang w:val="en-US" w:eastAsia="zh-CN"/>
        </w:rPr>
        <w:t>一</w:t>
      </w:r>
      <w:r>
        <w:rPr>
          <w:rFonts w:hint="eastAsia"/>
          <w:szCs w:val="22"/>
        </w:rPr>
        <w:t>版，</w:t>
      </w:r>
      <w:r>
        <w:rPr>
          <w:rFonts w:hint="eastAsia"/>
          <w:szCs w:val="22"/>
          <w:lang w:val="en-US" w:eastAsia="zh-CN"/>
        </w:rPr>
        <w:t>陈集双、欧江涛</w:t>
      </w:r>
      <w:r>
        <w:rPr>
          <w:rFonts w:hint="eastAsia"/>
          <w:szCs w:val="22"/>
        </w:rPr>
        <w:t>主编，</w:t>
      </w:r>
      <w:r>
        <w:rPr>
          <w:rFonts w:hint="eastAsia"/>
          <w:szCs w:val="22"/>
          <w:lang w:val="en-US" w:eastAsia="zh-CN"/>
        </w:rPr>
        <w:t>高等教育</w:t>
      </w:r>
      <w:r>
        <w:rPr>
          <w:rFonts w:hint="eastAsia"/>
          <w:szCs w:val="22"/>
        </w:rPr>
        <w:t>出版社，20</w:t>
      </w:r>
      <w:r>
        <w:rPr>
          <w:rFonts w:hint="eastAsia"/>
          <w:szCs w:val="22"/>
          <w:lang w:val="en-US" w:eastAsia="zh-CN"/>
        </w:rPr>
        <w:t>17</w:t>
      </w:r>
      <w:r>
        <w:rPr>
          <w:rFonts w:hint="eastAsia"/>
          <w:szCs w:val="22"/>
        </w:rPr>
        <w:t>年出版</w:t>
      </w:r>
    </w:p>
    <w:p/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4975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56B8F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A64A9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38FA"/>
    <w:rsid w:val="00407CAF"/>
    <w:rsid w:val="0041449E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47227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00683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64835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7C7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468F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E6299"/>
    <w:rsid w:val="00FF66DE"/>
    <w:rsid w:val="053E4CBA"/>
    <w:rsid w:val="05551F24"/>
    <w:rsid w:val="0B7C2E81"/>
    <w:rsid w:val="10FD4416"/>
    <w:rsid w:val="115616FB"/>
    <w:rsid w:val="135F5D8B"/>
    <w:rsid w:val="1736242F"/>
    <w:rsid w:val="181546A3"/>
    <w:rsid w:val="1DAC5E24"/>
    <w:rsid w:val="20634DE7"/>
    <w:rsid w:val="222A211C"/>
    <w:rsid w:val="232E1A7C"/>
    <w:rsid w:val="251D5908"/>
    <w:rsid w:val="288A3D3D"/>
    <w:rsid w:val="291D2151"/>
    <w:rsid w:val="2A3607E6"/>
    <w:rsid w:val="390F6279"/>
    <w:rsid w:val="492F03F4"/>
    <w:rsid w:val="49E04650"/>
    <w:rsid w:val="4E43717D"/>
    <w:rsid w:val="4FC62802"/>
    <w:rsid w:val="53B64ED0"/>
    <w:rsid w:val="549A1C0E"/>
    <w:rsid w:val="558F3DBC"/>
    <w:rsid w:val="577E52B1"/>
    <w:rsid w:val="58DE028B"/>
    <w:rsid w:val="659D34E9"/>
    <w:rsid w:val="66964864"/>
    <w:rsid w:val="786C7FD3"/>
    <w:rsid w:val="7EBD058E"/>
    <w:rsid w:val="7F4E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正文文本缩进 Char"/>
    <w:link w:val="3"/>
    <w:qFormat/>
    <w:uiPriority w:val="99"/>
    <w:rPr>
      <w:rFonts w:hAnsi="宋体"/>
      <w:kern w:val="2"/>
      <w:sz w:val="26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7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8">
    <w:name w:val="标题 1 Char"/>
    <w:basedOn w:val="10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湘潭大学研招办</Company>
  <Pages>3</Pages>
  <Words>328</Words>
  <Characters>1876</Characters>
  <Lines>15</Lines>
  <Paragraphs>4</Paragraphs>
  <TotalTime>4</TotalTime>
  <ScaleCrop>false</ScaleCrop>
  <LinksUpToDate>false</LinksUpToDate>
  <CharactersWithSpaces>2200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2019-10-07T03:07:00Z</dcterms:created>
  <dc:creator>李丽兰</dc:creator>
  <cp:lastModifiedBy>Administrator</cp:lastModifiedBy>
  <cp:lastPrinted>2018-07-16T02:14:00Z</cp:lastPrinted>
  <dcterms:modified xsi:type="dcterms:W3CDTF">2020-10-09T00:22:58Z</dcterms:modified>
  <dc:title>关于编制2002年硕士研究生招生专业目录的通知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