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</w:rPr>
        <w:t>20</w:t>
      </w:r>
      <w:r>
        <w:rPr>
          <w:rFonts w:ascii="黑体" w:hAnsi="黑体" w:eastAsia="黑体" w:cs="Times New Roman"/>
          <w:color w:val="000000"/>
          <w:sz w:val="36"/>
          <w:szCs w:val="36"/>
        </w:rPr>
        <w:t>21</w:t>
      </w:r>
      <w:r>
        <w:rPr>
          <w:rFonts w:hint="eastAsia" w:ascii="黑体" w:hAnsi="黑体" w:eastAsia="黑体" w:cs="Times New Roman"/>
          <w:color w:val="000000"/>
          <w:sz w:val="36"/>
          <w:szCs w:val="36"/>
        </w:rPr>
        <w:t>年水生生物学与鱼类学（8</w:t>
      </w:r>
      <w:r>
        <w:rPr>
          <w:rFonts w:ascii="黑体" w:hAnsi="黑体" w:eastAsia="黑体" w:cs="Times New Roman"/>
          <w:color w:val="000000"/>
          <w:sz w:val="36"/>
          <w:szCs w:val="36"/>
        </w:rPr>
        <w:t>27</w:t>
      </w:r>
      <w:r>
        <w:rPr>
          <w:rFonts w:hint="eastAsia" w:ascii="黑体" w:hAnsi="黑体" w:eastAsia="黑体" w:cs="Times New Roman"/>
          <w:color w:val="000000"/>
          <w:sz w:val="36"/>
          <w:szCs w:val="36"/>
        </w:rPr>
        <w:t>）</w:t>
      </w:r>
    </w:p>
    <w:p>
      <w:pPr>
        <w:jc w:val="center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</w:rPr>
        <w:t>考试大纲</w:t>
      </w:r>
    </w:p>
    <w:p>
      <w:pPr>
        <w:rPr>
          <w:rFonts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Ⅰ</w:t>
      </w:r>
      <w:r>
        <w:rPr>
          <w:rFonts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．考试性质</w:t>
      </w:r>
    </w:p>
    <w:p>
      <w:pP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　 　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水生生物学与鱼类学是水产养殖等专业的基础理论课程，是湖南农业大学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招收硕士研究生而设置的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自主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招生考试科目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之一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，其目的是科学地测试考生掌握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水产养殖专业课程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基本知识、基本理论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的基本情况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，评价的标准是高等学校本科毕业生能达到的及格或及格以上水平，以保证被录取者具有基本的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专业学识及素养，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择优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录取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Ⅱ</w:t>
      </w:r>
      <w:r>
        <w:rPr>
          <w:rFonts w:ascii="黑体" w:hAnsi="黑体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．考查目标</w:t>
      </w:r>
    </w:p>
    <w:p>
      <w:pP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水生生物学和鱼类学包括水生生物和鱼类学的理论课程，水生生物学主要介绍浮游植物、浮游动物、底栖动物和大型水生生物的形态分类及生态特点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。要求考生：</w:t>
      </w:r>
    </w:p>
    <w:p>
      <w:pP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　　1．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掌握水生生物的基本概念;</w:t>
      </w:r>
    </w:p>
    <w:p>
      <w:pPr>
        <w:ind w:firstLine="420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掌握各类水生生物的基本形态特征、生殖、分类等基本知识；</w:t>
      </w:r>
    </w:p>
    <w:p>
      <w:pPr>
        <w:ind w:firstLine="420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掌握各类水生生物的生态、分布和经济意义;</w:t>
      </w:r>
    </w:p>
    <w:p>
      <w:pPr>
        <w:ind w:firstLine="420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掌握分类系统类型及常见的水生生物的分类方法；</w:t>
      </w:r>
    </w:p>
    <w:p>
      <w:pPr>
        <w:ind w:firstLine="420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掌握鱼类的外部形态和内部结构；</w:t>
      </w:r>
    </w:p>
    <w:p>
      <w:pPr>
        <w:ind w:firstLine="420"/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掌握鱼类的分类系统、方法及软骨鱼纲和硬骨鱼纲的特征；</w:t>
      </w:r>
    </w:p>
    <w:p>
      <w:pPr>
        <w:ind w:firstLine="420"/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掌握鱼类与环境等的相互关系的生态学关系。</w:t>
      </w: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　　</w:t>
      </w:r>
    </w:p>
    <w:p>
      <w:pPr>
        <w:ind w:firstLine="420"/>
        <w:rPr>
          <w:rFonts w:hint="eastAsia"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Times New Roman"/>
          <w:color w:val="000000"/>
          <w:szCs w:val="20"/>
        </w:rPr>
      </w:pPr>
      <w:r>
        <w:rPr>
          <w:rFonts w:hint="eastAsia" w:ascii="黑体" w:hAnsi="黑体" w:eastAsia="黑体" w:cs="Times New Roman"/>
          <w:color w:val="000000"/>
          <w:szCs w:val="20"/>
        </w:rPr>
        <w:t>Ⅲ</w:t>
      </w:r>
      <w:r>
        <w:rPr>
          <w:rFonts w:ascii="黑体" w:hAnsi="黑体" w:eastAsia="黑体" w:cs="Times New Roman"/>
          <w:color w:val="000000"/>
          <w:szCs w:val="20"/>
        </w:rPr>
        <w:t>．考试形式和试卷结构</w:t>
      </w:r>
    </w:p>
    <w:p>
      <w:pPr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</w:t>
      </w:r>
      <w:r>
        <w:rPr>
          <w:rFonts w:ascii="华文中宋" w:hAnsi="华文中宋" w:eastAsia="华文中宋" w:cs="Times New Roman"/>
          <w:b/>
          <w:color w:val="000000"/>
          <w:szCs w:val="20"/>
        </w:rPr>
        <w:t>一、试卷满分及考试时间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本试卷满分为150分，考试时间为180分钟。</w:t>
      </w:r>
    </w:p>
    <w:p>
      <w:pPr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</w:t>
      </w:r>
      <w:r>
        <w:rPr>
          <w:rFonts w:ascii="华文中宋" w:hAnsi="华文中宋" w:eastAsia="华文中宋" w:cs="Times New Roman"/>
          <w:b/>
          <w:color w:val="000000"/>
          <w:szCs w:val="20"/>
        </w:rPr>
        <w:t>二、答题方式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答题方式为闭卷、笔试。</w:t>
      </w:r>
    </w:p>
    <w:p>
      <w:pPr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</w:t>
      </w:r>
      <w:r>
        <w:rPr>
          <w:rFonts w:ascii="华文中宋" w:hAnsi="华文中宋" w:eastAsia="华文中宋" w:cs="Times New Roman"/>
          <w:b/>
          <w:color w:val="000000"/>
          <w:szCs w:val="20"/>
        </w:rPr>
        <w:t>三、试卷内容结构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水生生物学60%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，9</w:t>
      </w:r>
      <w:r>
        <w:rPr>
          <w:rFonts w:ascii="Times New Roman" w:hAnsi="Times New Roman" w:eastAsia="宋体" w:cs="Times New Roman"/>
          <w:color w:val="000000"/>
          <w:szCs w:val="20"/>
        </w:rPr>
        <w:t>0分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。其中：浮游植物部分约2</w:t>
      </w:r>
      <w:r>
        <w:rPr>
          <w:rFonts w:ascii="Times New Roman" w:hAnsi="Times New Roman" w:eastAsia="宋体" w:cs="Times New Roman"/>
          <w:color w:val="000000"/>
          <w:szCs w:val="20"/>
        </w:rPr>
        <w:t>5分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，浮游动物部分约</w:t>
      </w:r>
      <w:r>
        <w:rPr>
          <w:rFonts w:ascii="Times New Roman" w:hAnsi="Times New Roman" w:eastAsia="宋体" w:cs="Times New Roman"/>
          <w:color w:val="000000"/>
          <w:szCs w:val="20"/>
        </w:rPr>
        <w:t>25分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</w:t>
      </w:r>
      <w:r>
        <w:rPr>
          <w:rFonts w:ascii="Times New Roman" w:hAnsi="Times New Roman" w:eastAsia="宋体" w:cs="Times New Roman"/>
          <w:color w:val="000000"/>
          <w:szCs w:val="20"/>
        </w:rPr>
        <w:t>底栖动物部分约25分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，水生</w:t>
      </w:r>
      <w:r>
        <w:rPr>
          <w:rFonts w:ascii="Times New Roman" w:hAnsi="Times New Roman" w:eastAsia="宋体" w:cs="Times New Roman"/>
          <w:color w:val="000000"/>
          <w:szCs w:val="20"/>
        </w:rPr>
        <w:t>大型植物部分约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1</w:t>
      </w:r>
      <w:r>
        <w:rPr>
          <w:rFonts w:ascii="Times New Roman" w:hAnsi="Times New Roman" w:eastAsia="宋体" w:cs="Times New Roman"/>
          <w:color w:val="000000"/>
          <w:szCs w:val="20"/>
        </w:rPr>
        <w:t>5分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</w:p>
    <w:p>
      <w:pPr>
        <w:ind w:firstLine="420"/>
        <w:rPr>
          <w:rFonts w:ascii="Times New Roman" w:hAnsi="Times New Roman" w:eastAsia="宋体" w:cs="Times New Roman"/>
          <w:color w:val="FF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鱼类学部分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0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%，6</w:t>
      </w:r>
      <w:r>
        <w:rPr>
          <w:rFonts w:ascii="Times New Roman" w:hAnsi="Times New Roman" w:eastAsia="宋体" w:cs="Times New Roman"/>
          <w:color w:val="000000"/>
          <w:szCs w:val="20"/>
        </w:rPr>
        <w:t>0分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。其中：鱼类形态及</w:t>
      </w:r>
      <w:r>
        <w:rPr>
          <w:rFonts w:hint="eastAsia" w:cs="宋体"/>
          <w:sz w:val="20"/>
          <w:szCs w:val="20"/>
        </w:rPr>
        <w:t>皮肤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部分约15</w:t>
      </w:r>
      <w:r>
        <w:rPr>
          <w:rFonts w:ascii="Times New Roman" w:hAnsi="Times New Roman" w:eastAsia="宋体" w:cs="Times New Roman"/>
          <w:color w:val="000000"/>
          <w:szCs w:val="20"/>
        </w:rPr>
        <w:t>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，鱼体内部结构部分约</w:t>
      </w:r>
      <w:r>
        <w:rPr>
          <w:rFonts w:ascii="Times New Roman" w:hAnsi="Times New Roman" w:eastAsia="宋体" w:cs="Times New Roman"/>
          <w:color w:val="000000"/>
          <w:szCs w:val="20"/>
        </w:rPr>
        <w:t>2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0</w:t>
      </w:r>
      <w:r>
        <w:rPr>
          <w:rFonts w:ascii="Times New Roman" w:hAnsi="Times New Roman" w:eastAsia="宋体" w:cs="Times New Roman"/>
          <w:color w:val="000000"/>
          <w:szCs w:val="20"/>
        </w:rPr>
        <w:t>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，鱼类分类学</w:t>
      </w:r>
      <w:r>
        <w:rPr>
          <w:rFonts w:ascii="Times New Roman" w:hAnsi="Times New Roman" w:eastAsia="宋体" w:cs="Times New Roman"/>
          <w:color w:val="000000"/>
          <w:szCs w:val="20"/>
        </w:rPr>
        <w:t>部分约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10</w:t>
      </w:r>
      <w:r>
        <w:rPr>
          <w:rFonts w:ascii="Times New Roman" w:hAnsi="Times New Roman" w:eastAsia="宋体" w:cs="Times New Roman"/>
          <w:color w:val="000000"/>
          <w:szCs w:val="20"/>
        </w:rPr>
        <w:t>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，鱼类生态学</w:t>
      </w:r>
      <w:r>
        <w:rPr>
          <w:rFonts w:ascii="Times New Roman" w:hAnsi="Times New Roman" w:eastAsia="宋体" w:cs="Times New Roman"/>
          <w:color w:val="000000"/>
          <w:szCs w:val="20"/>
        </w:rPr>
        <w:t>部分约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1</w:t>
      </w:r>
      <w:r>
        <w:rPr>
          <w:rFonts w:ascii="Times New Roman" w:hAnsi="Times New Roman" w:eastAsia="宋体" w:cs="Times New Roman"/>
          <w:color w:val="000000"/>
          <w:szCs w:val="20"/>
        </w:rPr>
        <w:t>5分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，。</w:t>
      </w:r>
    </w:p>
    <w:p>
      <w:pPr>
        <w:ind w:firstLine="420"/>
        <w:rPr>
          <w:rFonts w:ascii="Times New Roman" w:hAnsi="Times New Roman" w:eastAsia="宋体" w:cs="Times New Roman"/>
          <w:color w:val="FF0000"/>
          <w:szCs w:val="20"/>
        </w:rPr>
      </w:pP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</w:t>
      </w:r>
    </w:p>
    <w:p>
      <w:pPr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</w:t>
      </w:r>
      <w:r>
        <w:rPr>
          <w:rFonts w:ascii="华文中宋" w:hAnsi="华文中宋" w:eastAsia="华文中宋" w:cs="Times New Roman"/>
          <w:b/>
          <w:color w:val="000000"/>
          <w:szCs w:val="20"/>
        </w:rPr>
        <w:t>四、试卷题型结构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名词解释题30分</w:t>
      </w:r>
      <w:bookmarkStart w:id="0" w:name="OLE_LINK2"/>
      <w:bookmarkStart w:id="1" w:name="OLE_LINK1"/>
      <w:r>
        <w:rPr>
          <w:rFonts w:ascii="Times New Roman" w:hAnsi="Times New Roman" w:eastAsia="宋体" w:cs="Times New Roman"/>
          <w:color w:val="000000"/>
          <w:szCs w:val="20"/>
        </w:rPr>
        <w:t>（10小题，每小题3分）</w:t>
      </w:r>
      <w:bookmarkEnd w:id="0"/>
      <w:bookmarkEnd w:id="1"/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szCs w:val="20"/>
        </w:rPr>
        <w:t>　</w:t>
      </w: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填空题2</w:t>
      </w:r>
      <w:r>
        <w:rPr>
          <w:rFonts w:ascii="Times New Roman" w:hAnsi="Times New Roman" w:eastAsia="宋体" w:cs="Times New Roman"/>
          <w:color w:val="000000"/>
          <w:szCs w:val="20"/>
        </w:rPr>
        <w:t>0分（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1</w:t>
      </w:r>
      <w:r>
        <w:rPr>
          <w:rFonts w:ascii="Times New Roman" w:hAnsi="Times New Roman" w:eastAsia="宋体" w:cs="Times New Roman"/>
          <w:color w:val="000000"/>
          <w:szCs w:val="20"/>
        </w:rPr>
        <w:t>0小题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0空，每空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0</w:t>
      </w:r>
      <w:r>
        <w:rPr>
          <w:rFonts w:ascii="Times New Roman" w:hAnsi="Times New Roman" w:eastAsia="宋体" w:cs="Times New Roman"/>
          <w:color w:val="000000"/>
          <w:szCs w:val="20"/>
        </w:rPr>
        <w:t>.5分）</w:t>
      </w:r>
    </w:p>
    <w:p>
      <w:pPr>
        <w:ind w:firstLine="420" w:firstLineChars="20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简答题64分（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8</w:t>
      </w:r>
      <w:r>
        <w:rPr>
          <w:rFonts w:ascii="Times New Roman" w:hAnsi="Times New Roman" w:eastAsia="宋体" w:cs="Times New Roman"/>
          <w:color w:val="000000"/>
          <w:szCs w:val="20"/>
        </w:rPr>
        <w:t>小题，每小题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8</w:t>
      </w:r>
      <w:r>
        <w:rPr>
          <w:rFonts w:ascii="Times New Roman" w:hAnsi="Times New Roman" w:eastAsia="宋体" w:cs="Times New Roman"/>
          <w:color w:val="000000"/>
          <w:szCs w:val="20"/>
        </w:rPr>
        <w:t>分）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综述题36分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（3小题，每小题1</w:t>
      </w:r>
      <w:r>
        <w:rPr>
          <w:rFonts w:ascii="Times New Roman" w:hAnsi="Times New Roman" w:eastAsia="宋体" w:cs="Times New Roman"/>
          <w:color w:val="000000"/>
          <w:szCs w:val="20"/>
        </w:rPr>
        <w:t>2分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）</w:t>
      </w: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ascii="黑体" w:hAnsi="黑体" w:eastAsia="黑体" w:cs="Times New Roman"/>
          <w:color w:val="000000"/>
          <w:szCs w:val="20"/>
        </w:rPr>
      </w:pPr>
    </w:p>
    <w:p>
      <w:pPr>
        <w:rPr>
          <w:rFonts w:hint="eastAsia" w:ascii="黑体" w:hAnsi="黑体" w:eastAsia="黑体" w:cs="Times New Roman"/>
          <w:color w:val="000000"/>
          <w:szCs w:val="20"/>
        </w:rPr>
      </w:pPr>
      <w:r>
        <w:rPr>
          <w:rFonts w:hint="eastAsia" w:ascii="黑体" w:hAnsi="黑体" w:eastAsia="黑体" w:cs="Times New Roman"/>
          <w:color w:val="000000"/>
          <w:szCs w:val="20"/>
        </w:rPr>
        <w:t>Ⅳ</w:t>
      </w:r>
      <w:r>
        <w:rPr>
          <w:rFonts w:ascii="黑体" w:hAnsi="黑体" w:eastAsia="黑体" w:cs="Times New Roman"/>
          <w:color w:val="000000"/>
          <w:szCs w:val="20"/>
        </w:rPr>
        <w:t>．考查内容</w:t>
      </w:r>
    </w:p>
    <w:p>
      <w:pPr>
        <w:jc w:val="center"/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华文中宋" w:hAnsi="华文中宋" w:eastAsia="华文中宋" w:cs="Times New Roman"/>
          <w:b/>
          <w:color w:val="000000"/>
          <w:szCs w:val="20"/>
        </w:rPr>
        <w:t>一、</w:t>
      </w:r>
      <w:r>
        <w:rPr>
          <w:rFonts w:hint="eastAsia" w:ascii="华文中宋" w:hAnsi="华文中宋" w:eastAsia="华文中宋" w:cs="Times New Roman"/>
          <w:b/>
          <w:color w:val="000000"/>
          <w:szCs w:val="20"/>
        </w:rPr>
        <w:t>水生</w:t>
      </w:r>
      <w:r>
        <w:rPr>
          <w:rFonts w:ascii="华文中宋" w:hAnsi="华文中宋" w:eastAsia="华文中宋" w:cs="Times New Roman"/>
          <w:b/>
          <w:color w:val="000000"/>
          <w:szCs w:val="20"/>
        </w:rPr>
        <w:t>生物学</w:t>
      </w:r>
    </w:p>
    <w:p>
      <w:pPr>
        <w:jc w:val="center"/>
        <w:rPr>
          <w:rFonts w:ascii="Times New Roman" w:hAnsi="Times New Roman" w:eastAsia="宋体" w:cs="Times New Roman"/>
          <w:color w:val="000000"/>
          <w:szCs w:val="20"/>
        </w:rPr>
      </w:pP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（一）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浮游</w:t>
      </w:r>
      <w:r>
        <w:rPr>
          <w:rFonts w:ascii="Times New Roman" w:hAnsi="Times New Roman" w:eastAsia="宋体" w:cs="Times New Roman"/>
          <w:color w:val="000000"/>
          <w:szCs w:val="20"/>
        </w:rPr>
        <w:t>植物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藻类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藻类的形态、细胞结构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、</w:t>
      </w:r>
      <w:r>
        <w:rPr>
          <w:rFonts w:ascii="Times New Roman" w:hAnsi="Times New Roman" w:eastAsia="宋体" w:cs="Times New Roman"/>
          <w:color w:val="000000"/>
          <w:szCs w:val="20"/>
        </w:rPr>
        <w:t>繁殖方式、生态分布及生活史类型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；</w:t>
      </w:r>
      <w:r>
        <w:rPr>
          <w:rFonts w:ascii="Times New Roman" w:hAnsi="Times New Roman" w:eastAsia="宋体" w:cs="Times New Roman"/>
          <w:color w:val="000000"/>
          <w:szCs w:val="20"/>
        </w:rPr>
        <w:t>藻类的分类依据与分类系统。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蓝藻门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蓝藻门的主要生物学特征；蓝藻门分类；蓝藻的生态分布及意义。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3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硅藻门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硅藻门的主要生物学特征；硅藻细胞壁构造；硅藻门分类；硅藻的生态分布及意义。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金藻门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金藻门的主要生物学特征; 金藻门分类；金藻的生态分布及意义。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5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黄藻门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黄藻门的主要生物学特征；黄藻门分类；黄藻的生态分布及意义。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6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隐藻门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隐藻门的主要生物学特征; 隐藻门分类；隐藻的生态分布及意义。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7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甲藻门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甲藻门的主要生物学特征；绿藻门分类；绿藻的生态分布及意义。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8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裸藻门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裸藻门的主要生物学特征；绿藻门分类；绿藻的生态分布及意义。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9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绿藻门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绿藻门的主要生物学特征；绿藻门分类；绿藻的生态分布及意义。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（二）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浮游</w:t>
      </w:r>
      <w:r>
        <w:rPr>
          <w:rFonts w:ascii="Times New Roman" w:hAnsi="Times New Roman" w:eastAsia="宋体" w:cs="Times New Roman"/>
          <w:color w:val="000000"/>
          <w:szCs w:val="20"/>
        </w:rPr>
        <w:t>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原生动物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原生动物的形态构造、生理机能；原生动物的分类；原生动物的生态分布与意义。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轮虫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轮虫的主要生物学特征；轮虫的分类；轮虫的生态分布与意义。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3．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枝角类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枝角类的主要生物学特征；枝角类的分类；枝角类的生态分布与意义。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桡足类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桡足类的形态构造与生殖发育特征；桡足类的分类；桡足类的生态分布与意义。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5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毛颚动物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毛颚动物的主要特征；毛颚动物的分类；毛颚动物的生态分布与意义。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6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被囊动物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被囊动物的主要特征；被囊动物的生态分布与意义。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7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腔肠动物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腔肠动物的主要特征；腔肠动物的分类；腔肠动物的生态分布与意义。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8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浮游幼虫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浮游甲壳类；常见浮游幼虫；浮游幼虫的生物学特征。</w:t>
      </w:r>
    </w:p>
    <w:p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　　（三）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底栖动物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环节动物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环节动物的主要特征；环节动物的分类；环节动物的生态分布与意义。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软体动物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软体动物概述；腹足纲；瓣鳃纲；头足纲的特征与分布。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3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甲壳动物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甲壳动物概述；口足类、蔓足类、十足类等生物学特征；甲壳动物的生态分布与意义。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水生昆虫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水生昆虫的主要特征；水生昆虫的分类；水生昆虫的生态分布与意义。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5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棘皮动物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棘皮动物概述；棘皮动物的分类；棘皮动物生态分布与经济意义。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（</w:t>
      </w:r>
      <w:r>
        <w:rPr>
          <w:rFonts w:ascii="Times New Roman" w:hAnsi="Times New Roman" w:eastAsia="宋体" w:cs="Times New Roman"/>
          <w:color w:val="000000"/>
          <w:szCs w:val="20"/>
        </w:rPr>
        <w:t>四）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水生</w:t>
      </w:r>
      <w:r>
        <w:rPr>
          <w:rFonts w:ascii="Times New Roman" w:hAnsi="Times New Roman" w:eastAsia="宋体" w:cs="Times New Roman"/>
          <w:color w:val="000000"/>
          <w:szCs w:val="20"/>
        </w:rPr>
        <w:t>大型植物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红藻门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红藻门的形态学特征；红藻门的分类；红藻门的分布和意义。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褐藻门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褐藻门的形态学特征；褐藻门的分类；褐藻门的分布和意义。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3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轮藻门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轮藻门的形态学特征；轮藻门的分类；轮藻门的分布和意义。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水生维管束植物</w:t>
      </w:r>
    </w:p>
    <w:p>
      <w:pPr>
        <w:ind w:firstLine="405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水生维管束植物的形态学特征；水生维管束植物的分类；水生维管束植物的分布和意义。</w:t>
      </w:r>
    </w:p>
    <w:p>
      <w:pPr>
        <w:ind w:firstLine="405"/>
        <w:rPr>
          <w:rFonts w:ascii="华文中宋" w:hAnsi="华文中宋" w:eastAsia="华文中宋" w:cs="Times New Roman"/>
          <w:b/>
          <w:color w:val="000000"/>
          <w:szCs w:val="20"/>
        </w:rPr>
      </w:pPr>
    </w:p>
    <w:p>
      <w:pPr>
        <w:ind w:firstLine="405"/>
        <w:jc w:val="center"/>
        <w:rPr>
          <w:rFonts w:ascii="华文中宋" w:hAnsi="华文中宋" w:eastAsia="华文中宋" w:cs="Times New Roman"/>
          <w:b/>
          <w:color w:val="000000"/>
          <w:szCs w:val="20"/>
        </w:rPr>
      </w:pPr>
      <w:r>
        <w:rPr>
          <w:rFonts w:ascii="华文中宋" w:hAnsi="华文中宋" w:eastAsia="华文中宋" w:cs="Times New Roman"/>
          <w:b/>
          <w:color w:val="000000"/>
          <w:szCs w:val="20"/>
        </w:rPr>
        <w:t>二、</w:t>
      </w:r>
      <w:r>
        <w:rPr>
          <w:rFonts w:hint="eastAsia" w:ascii="华文中宋" w:hAnsi="华文中宋" w:eastAsia="华文中宋" w:cs="Times New Roman"/>
          <w:b/>
          <w:color w:val="000000"/>
          <w:szCs w:val="20"/>
        </w:rPr>
        <w:t>鱼类学</w:t>
      </w:r>
    </w:p>
    <w:p>
      <w:pPr>
        <w:ind w:firstLine="405"/>
        <w:rPr>
          <w:rFonts w:ascii="华文中宋" w:hAnsi="华文中宋" w:eastAsia="华文中宋" w:cs="Times New Roman"/>
          <w:b/>
          <w:color w:val="000000"/>
          <w:szCs w:val="20"/>
        </w:rPr>
      </w:pP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（一）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鱼类形态及皮肤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 xml:space="preserve">1．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鱼类的外部形态和功能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 鱼体外部的区分；鱼类的体形；头部器官；鳍的结构、鳍式、鳍的形态和功用。</w:t>
      </w:r>
    </w:p>
    <w:p>
      <w:pPr>
        <w:numPr>
          <w:ilvl w:val="0"/>
          <w:numId w:val="1"/>
        </w:num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鱼类的体型   </w:t>
      </w:r>
    </w:p>
    <w:p>
      <w:pPr>
        <w:ind w:firstLine="840" w:firstLineChars="40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鱼类的体型对于鱼类的生存、分布及其在渔业生产上的意义。  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3</w:t>
      </w:r>
      <w:r>
        <w:rPr>
          <w:rFonts w:ascii="Times New Roman" w:hAnsi="Times New Roman" w:eastAsia="宋体" w:cs="Times New Roman"/>
          <w:color w:val="000000"/>
          <w:szCs w:val="20"/>
        </w:rPr>
        <w:t xml:space="preserve">．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鱼的皮肤及其衍生物     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 皮肤的结构与特点；皮肤腺的特点；鱼类鳞片形状的划分和特点、鳞式。</w:t>
      </w:r>
    </w:p>
    <w:p>
      <w:pPr>
        <w:ind w:firstLine="420" w:firstLineChars="20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 xml:space="preserve">．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色素细胞和体色</w:t>
      </w:r>
    </w:p>
    <w:p>
      <w:pPr>
        <w:ind w:firstLine="400" w:firstLineChars="200"/>
        <w:rPr>
          <w:bCs/>
          <w:sz w:val="20"/>
          <w:szCs w:val="21"/>
        </w:rPr>
      </w:pPr>
      <w:r>
        <w:rPr>
          <w:rFonts w:hint="eastAsia"/>
          <w:bCs/>
          <w:sz w:val="20"/>
          <w:szCs w:val="21"/>
        </w:rPr>
        <w:t xml:space="preserve">    色素细胞；体色；</w:t>
      </w:r>
      <w:r>
        <w:rPr>
          <w:rFonts w:cs="宋体"/>
          <w:color w:val="000000"/>
          <w:sz w:val="20"/>
          <w:szCs w:val="20"/>
        </w:rPr>
        <w:t>发光器</w:t>
      </w:r>
      <w:r>
        <w:rPr>
          <w:rFonts w:hint="eastAsia" w:cs="宋体"/>
          <w:color w:val="000000"/>
          <w:sz w:val="20"/>
          <w:szCs w:val="20"/>
        </w:rPr>
        <w:t>；</w:t>
      </w:r>
      <w:r>
        <w:rPr>
          <w:rFonts w:cs="宋体"/>
          <w:color w:val="000000"/>
          <w:sz w:val="20"/>
          <w:szCs w:val="20"/>
        </w:rPr>
        <w:t>鱼苗粘附器</w:t>
      </w:r>
      <w:r>
        <w:rPr>
          <w:rFonts w:hint="eastAsia" w:cs="宋体"/>
          <w:color w:val="000000"/>
          <w:sz w:val="20"/>
          <w:szCs w:val="20"/>
        </w:rPr>
        <w:t>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（二）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鱼体内部结构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骨骼系统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主轴骨骼：鱼类脑颅骨骼的组成；鱼类咽颅骨骼的组成。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附肢骨骼:奇</w:t>
      </w:r>
      <w:r>
        <w:rPr>
          <w:rFonts w:ascii="Times New Roman" w:hAnsi="Times New Roman" w:eastAsia="宋体" w:cs="Times New Roman"/>
          <w:color w:val="000000"/>
          <w:szCs w:val="20"/>
        </w:rPr>
        <w:t>鳍支鳍骨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;</w:t>
      </w:r>
      <w:r>
        <w:rPr>
          <w:rFonts w:ascii="Times New Roman" w:hAnsi="Times New Roman" w:eastAsia="宋体" w:cs="Times New Roman"/>
          <w:color w:val="000000"/>
          <w:szCs w:val="20"/>
        </w:rPr>
        <w:t>偶鳍支鳍骨和带骨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肌肉系统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鱼类肌肉系统的命名、组成;肌肉类别；肌肉功能；发电器官。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3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消化系统 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鱼类消化系统的组成；鱼类消化管结构；鱼类消化管结构与食性的关系。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呼吸系统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鱼类鳃的构造；鱼类常见的辅助呼吸器官种类；鱼类鳔的类型与结构。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5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循环系统 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鱼类血液的组成；鱼类循环管道的组成；鱼类淋巴系统的结构。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6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尿殖系统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鱼类泌尿器官的组成；鱼类的泌尿机能；鱼类生殖器官组成；鱼类雌雄异形和性征；鱼类的雌雄同体和性逆转；鱼类的生殖方式。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7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神经系统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鱼类脑的组成；鱼类脑神经的组成；鱼类外周神经系统；鱼类植物性神经系统。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8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感觉器官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鱼类皮肤感觉器官的结构；鱼类听觉器官和视觉器官的结构；鱼类嗅觉器官、味觉器官的结构。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9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内分泌器官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鱼类内分泌腺的结构；鱼类脑垂体的结构与功能；鱼类甲状腺结构；鱼类其他腺体结构。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（三）鱼类分类学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鱼类的分类系统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分类的阶元和范畴；命名法；分类的主要性状和术语；鱼类的分类系统。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鱼类分类鉴定的基本方法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标本的采集与保存；标本鉴定的步骤。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3．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软骨鱼纲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软骨鱼纲鱼类的主要特征；软骨鱼纲鱼类分类系统。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4．硬骨鱼纲</w:t>
      </w:r>
    </w:p>
    <w:p>
      <w:pPr>
        <w:ind w:firstLine="420"/>
        <w:rPr>
          <w:rFonts w:ascii="Times New Roman" w:hAnsi="Times New Roman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硬骨鱼纲鱼类的主要特征；硬骨鱼纲纲鱼类分类系统；常见鲤形目鱼类主要分类鉴别特</w:t>
      </w:r>
      <w:r>
        <w:rPr>
          <w:rFonts w:hint="eastAsia"/>
          <w:sz w:val="20"/>
          <w:szCs w:val="21"/>
        </w:rPr>
        <w:t>征。</w:t>
      </w:r>
    </w:p>
    <w:p>
      <w:pPr>
        <w:ind w:left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（四）鱼类生态学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1．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鱼类与环境的相互关系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鱼类生活的非生物因子；鱼类生活的生物因子；鱼类与生物性因子的关系。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2</w:t>
      </w:r>
      <w:r>
        <w:rPr>
          <w:rFonts w:ascii="Times New Roman" w:hAnsi="Times New Roman" w:eastAsia="宋体" w:cs="Times New Roman"/>
          <w:color w:val="000000"/>
          <w:szCs w:val="20"/>
        </w:rPr>
        <w:t>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鱼类的食性 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鱼类的食性类型、变化、摄食习性；测定鱼类食性的方法。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  <w:szCs w:val="20"/>
        </w:rPr>
        <w:t>3．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鱼类的繁殖和发育阶段的划分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鱼类的性成熟年龄与生活环境条件的关系；鱼类的性成熟及生殖习性；</w:t>
      </w:r>
      <w:r>
        <w:rPr>
          <w:rFonts w:ascii="Times New Roman" w:hAnsi="Times New Roman" w:eastAsia="宋体" w:cs="Times New Roman"/>
          <w:color w:val="00000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0"/>
        </w:rPr>
        <w:t>鱼类发育阶段的划分及变态。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4．鱼类的年龄和生长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鱼类生长的特性；测定鱼类的年龄和生长。</w:t>
      </w:r>
    </w:p>
    <w:p>
      <w:pPr>
        <w:ind w:firstLine="420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5．鱼类的洄游</w:t>
      </w:r>
    </w:p>
    <w:p>
      <w:pPr>
        <w:ind w:firstLine="420"/>
        <w:rPr>
          <w:rFonts w:hint="eastAsia"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鱼类的洄游的类型； 生殖洄游代表种类；影响鱼类洄游的因素和研究方法。</w:t>
      </w:r>
    </w:p>
    <w:p>
      <w:pPr>
        <w:ind w:firstLine="420"/>
        <w:rPr>
          <w:rFonts w:hint="eastAsia" w:ascii="Times New Roman" w:hAnsi="Times New Roman" w:eastAsia="宋体" w:cs="Times New Roman"/>
          <w:color w:val="000000"/>
          <w:szCs w:val="20"/>
        </w:rPr>
      </w:pPr>
    </w:p>
    <w:p>
      <w:pPr>
        <w:ind w:firstLine="420"/>
        <w:rPr>
          <w:rFonts w:hint="eastAsia" w:ascii="Times New Roman" w:hAnsi="Times New Roman" w:eastAsia="宋体" w:cs="Times New Roman"/>
          <w:color w:val="000000"/>
          <w:szCs w:val="20"/>
        </w:rPr>
      </w:pPr>
    </w:p>
    <w:p>
      <w:pPr>
        <w:ind w:firstLine="420"/>
        <w:rPr>
          <w:rFonts w:hint="eastAsia" w:ascii="Times New Roman" w:hAnsi="Times New Roman" w:eastAsia="宋体" w:cs="Times New Roman"/>
          <w:color w:val="000000"/>
          <w:szCs w:val="20"/>
        </w:rPr>
      </w:pPr>
    </w:p>
    <w:p>
      <w:pPr>
        <w:ind w:firstLine="420"/>
        <w:rPr>
          <w:rFonts w:hint="eastAsia" w:ascii="Times New Roman" w:hAnsi="Times New Roman" w:eastAsia="宋体" w:cs="Times New Roman"/>
          <w:color w:val="000000"/>
          <w:szCs w:val="20"/>
        </w:rPr>
      </w:pPr>
    </w:p>
    <w:p>
      <w:pPr>
        <w:ind w:firstLine="420"/>
        <w:rPr>
          <w:rFonts w:hint="default" w:ascii="Times New Roman" w:hAnsi="Times New Roman" w:eastAsia="宋体" w:cs="Times New Roman"/>
          <w:color w:val="00000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Cs w:val="20"/>
          <w:lang w:val="en-US" w:eastAsia="zh-CN"/>
        </w:rPr>
        <w:t xml:space="preserve">                                  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A32E3"/>
    <w:multiLevelType w:val="singleLevel"/>
    <w:tmpl w:val="8A7A32E3"/>
    <w:lvl w:ilvl="0" w:tentative="0">
      <w:start w:val="2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03"/>
    <w:rsid w:val="00041C26"/>
    <w:rsid w:val="00081317"/>
    <w:rsid w:val="00174C43"/>
    <w:rsid w:val="001A3D37"/>
    <w:rsid w:val="00242D6C"/>
    <w:rsid w:val="00257B63"/>
    <w:rsid w:val="002F45BC"/>
    <w:rsid w:val="00312563"/>
    <w:rsid w:val="003D370C"/>
    <w:rsid w:val="003E0179"/>
    <w:rsid w:val="003E0C59"/>
    <w:rsid w:val="0040774B"/>
    <w:rsid w:val="0042226D"/>
    <w:rsid w:val="00422ED0"/>
    <w:rsid w:val="0044330F"/>
    <w:rsid w:val="00445626"/>
    <w:rsid w:val="004C1993"/>
    <w:rsid w:val="004F5966"/>
    <w:rsid w:val="00503AE3"/>
    <w:rsid w:val="00536A1F"/>
    <w:rsid w:val="0053703C"/>
    <w:rsid w:val="005A412C"/>
    <w:rsid w:val="00616211"/>
    <w:rsid w:val="00647A0F"/>
    <w:rsid w:val="006A07BA"/>
    <w:rsid w:val="00741CA3"/>
    <w:rsid w:val="00763AE5"/>
    <w:rsid w:val="00777405"/>
    <w:rsid w:val="0079088B"/>
    <w:rsid w:val="007A556F"/>
    <w:rsid w:val="00805EFD"/>
    <w:rsid w:val="008B1F81"/>
    <w:rsid w:val="008B252A"/>
    <w:rsid w:val="0090514F"/>
    <w:rsid w:val="009A573B"/>
    <w:rsid w:val="009B5F5C"/>
    <w:rsid w:val="009F5372"/>
    <w:rsid w:val="00A4711E"/>
    <w:rsid w:val="00A7383A"/>
    <w:rsid w:val="00A7510B"/>
    <w:rsid w:val="00AA2E61"/>
    <w:rsid w:val="00AC2AA4"/>
    <w:rsid w:val="00AC3B51"/>
    <w:rsid w:val="00AE0A08"/>
    <w:rsid w:val="00AF1530"/>
    <w:rsid w:val="00AF3E76"/>
    <w:rsid w:val="00B1049F"/>
    <w:rsid w:val="00BC7772"/>
    <w:rsid w:val="00BE2559"/>
    <w:rsid w:val="00BE3A0B"/>
    <w:rsid w:val="00C253A0"/>
    <w:rsid w:val="00C45389"/>
    <w:rsid w:val="00C9232E"/>
    <w:rsid w:val="00CB76AF"/>
    <w:rsid w:val="00CF25A9"/>
    <w:rsid w:val="00D10B54"/>
    <w:rsid w:val="00D23BA2"/>
    <w:rsid w:val="00DA5A80"/>
    <w:rsid w:val="00E13EFE"/>
    <w:rsid w:val="00E55108"/>
    <w:rsid w:val="00E91F33"/>
    <w:rsid w:val="00EA4728"/>
    <w:rsid w:val="00EB4A73"/>
    <w:rsid w:val="00F47F03"/>
    <w:rsid w:val="00F563D3"/>
    <w:rsid w:val="19A26039"/>
    <w:rsid w:val="1A510665"/>
    <w:rsid w:val="21256372"/>
    <w:rsid w:val="24DD3998"/>
    <w:rsid w:val="29E36A0B"/>
    <w:rsid w:val="33123A1D"/>
    <w:rsid w:val="33BC7858"/>
    <w:rsid w:val="376719EE"/>
    <w:rsid w:val="391C35C7"/>
    <w:rsid w:val="46E95810"/>
    <w:rsid w:val="48656905"/>
    <w:rsid w:val="598875A3"/>
    <w:rsid w:val="5EEC565B"/>
    <w:rsid w:val="67D74E81"/>
    <w:rsid w:val="74A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4577B-A308-4B01-90F4-7C00631FF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4</Pages>
  <Words>427</Words>
  <Characters>2440</Characters>
  <Lines>20</Lines>
  <Paragraphs>5</Paragraphs>
  <TotalTime>23</TotalTime>
  <ScaleCrop>false</ScaleCrop>
  <LinksUpToDate>false</LinksUpToDate>
  <CharactersWithSpaces>2862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2020-08-13T22:05:00Z</dcterms:created>
  <dc:creator>Administrator</dc:creator>
  <cp:lastModifiedBy>Administrator</cp:lastModifiedBy>
  <dcterms:modified xsi:type="dcterms:W3CDTF">2020-08-26T07:46:19Z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