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F8" w:rsidRPr="00001E88" w:rsidRDefault="00FC31F8" w:rsidP="00815B2C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3F6CE4">
        <w:rPr>
          <w:rFonts w:ascii="宋体" w:hAnsi="宋体" w:hint="eastAsia"/>
          <w:b/>
          <w:bCs/>
          <w:sz w:val="32"/>
          <w:szCs w:val="32"/>
        </w:rPr>
        <w:t>2</w:t>
      </w:r>
      <w:r w:rsidR="000E3C3B">
        <w:rPr>
          <w:rFonts w:ascii="宋体" w:hAnsi="宋体"/>
          <w:b/>
          <w:bCs/>
          <w:sz w:val="32"/>
          <w:szCs w:val="32"/>
        </w:rPr>
        <w:t>1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FC31F8" w:rsidRPr="00BA7F63" w:rsidRDefault="00FC31F8" w:rsidP="00BA7F63">
      <w:pPr>
        <w:jc w:val="center"/>
        <w:rPr>
          <w:rFonts w:ascii="宋体" w:hint="eastAsia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</w:t>
      </w:r>
      <w:r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：</w:t>
      </w:r>
      <w:r w:rsidR="000F0BB3"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877</w:t>
      </w:r>
      <w:r w:rsidR="003F6CE4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>
        <w:rPr>
          <w:rFonts w:ascii="宋体" w:hAnsi="宋体" w:hint="eastAsia"/>
          <w:b/>
          <w:bCs/>
          <w:sz w:val="28"/>
          <w:szCs w:val="28"/>
        </w:rPr>
        <w:t>经济学原理</w:t>
      </w:r>
      <w:bookmarkStart w:id="0" w:name="_GoBack"/>
      <w:bookmarkEnd w:id="0"/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 w:rsidRPr="00001E88">
        <w:rPr>
          <w:rFonts w:ascii="宋体" w:hAnsi="宋体" w:hint="eastAsia"/>
          <w:szCs w:val="21"/>
        </w:rPr>
        <w:t>一</w:t>
      </w:r>
      <w:r>
        <w:rPr>
          <w:rFonts w:ascii="宋体" w:hAnsi="宋体" w:hint="eastAsia"/>
          <w:szCs w:val="21"/>
        </w:rPr>
        <w:t>、经济学的内涵及特点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、经济学的主要研究内容，微观经济学与宏观经济学的内涵及特点</w:t>
      </w:r>
      <w:r w:rsidRPr="00001E88">
        <w:rPr>
          <w:rFonts w:ascii="宋体"/>
          <w:szCs w:val="21"/>
        </w:rPr>
        <w:t>.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、经济学的主要研究方法，规范分析和实证分析的区别</w:t>
      </w:r>
      <w:r w:rsidRPr="00001E88">
        <w:rPr>
          <w:rFonts w:ascii="宋体"/>
          <w:szCs w:val="21"/>
        </w:rPr>
        <w:t>.</w:t>
      </w:r>
    </w:p>
    <w:p w:rsidR="00FC31F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、经济学的起源与学科演变</w:t>
      </w:r>
      <w:r w:rsidRPr="00001E88"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二、需求、供给与市场均衡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、需求和供给的概念及影响因素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、需求弹性和供给弹性的概念及影响因素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、供求均衡的应用，静态分析、比较静态分析和动态分析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蛛网模型的应用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三、效用与消费者均衡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、效用的相关概念、边际效用递减规律、消费者均衡的基本条件及需求曲线的推导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、无差异曲线与预算约束线的含义、特点，商品的边际替代率递减规律，消费者效用最大化的均衡条件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、价格变化和收入变化对消费者均衡的影响，替代效应和收入效应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、从单个消费者的需求曲线到市场需求曲线的推导，不确定性和风险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四、生产与成本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、厂商的组织</w:t>
      </w:r>
      <w:r w:rsidR="00B47FAE">
        <w:rPr>
          <w:rFonts w:ascii="宋体" w:hAnsi="宋体" w:hint="eastAsia"/>
          <w:szCs w:val="21"/>
        </w:rPr>
        <w:t>形式</w:t>
      </w:r>
      <w:r>
        <w:rPr>
          <w:rFonts w:ascii="宋体" w:hAnsi="宋体" w:hint="eastAsia"/>
          <w:szCs w:val="21"/>
        </w:rPr>
        <w:t>及本质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、生产函数的含义及典型形式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、等成本线与最优生产要素组合的确定，规模报酬的含义及三种类型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、成本的概念，短期总产量与短期总成本，短期成本曲线与长期成本曲线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五、完全竞争与不完全竞争市场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、厂商和市场的类型、厂商利润最大化的基本条件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、完全竞争市场的特点、供给曲线和需求曲线、长期均衡和短期均衡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、垄断的特点及成因，垄断市场的短期均衡和长期均衡，价格歧视的类型及条件，自然垄断和政府管制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、垄断竞争市场的特点、短期均衡和长期均衡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、寡头市场的特点，古诺模型、斯塔克伯格模型、价格领导模型及斯威齐模型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六、生产要素价格的决定</w:t>
      </w:r>
    </w:p>
    <w:p w:rsidR="00FC31F8" w:rsidRPr="004C00D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、完全竞争厂商对生产要素的使用原则和需求曲线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市场需求曲线的推导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、劳动、土地和资本三种生产要素的供给和价格的决定</w:t>
      </w:r>
      <w:r w:rsidR="00B47FAE">
        <w:rPr>
          <w:rFonts w:ascii="宋体" w:hAnsi="宋体" w:hint="eastAsia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、洛伦茨曲线和基尼系数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七、一般均衡论和福利经济学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、一般均衡和经济效率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</w:t>
      </w:r>
      <w:r>
        <w:rPr>
          <w:rFonts w:ascii="宋体" w:hAnsi="宋体" w:hint="eastAsia"/>
          <w:szCs w:val="21"/>
        </w:rPr>
        <w:t>、生产和交换的帕累托最优条件，完全竞争和帕累托最优状态的关系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="00B47FAE">
        <w:rPr>
          <w:rFonts w:ascii="宋体" w:hAnsi="宋体" w:hint="eastAsia"/>
          <w:szCs w:val="21"/>
        </w:rPr>
        <w:t>、社会福利函数、</w:t>
      </w:r>
      <w:r>
        <w:rPr>
          <w:rFonts w:ascii="宋体" w:hAnsi="宋体" w:hint="eastAsia"/>
          <w:szCs w:val="21"/>
        </w:rPr>
        <w:t>效率与公平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八、博弈论的基本知识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、博弈论和策略行为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、同时博弈的纯策略均衡和混合策略均衡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、序贯博弈的均衡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九、市场失灵和微观经济政策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、市场失灵的内涵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、外部性、公共物品、不完全信息等典型市场失灵的成因和政府政策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十、国民收入核算与简单的国民收入决定理论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、国内生产总值的含义，核算国内生产总值的两种方法，国内收入核算其他常见指标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、国民收入构成的基本公式，名义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和实际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、均衡产出的概念，典型的消费理论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、两部门、三部门和四部门经济中国民收入的决定及变动规律，乘数论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十一、产品市场和货币市场的一般均衡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投资的决定与</w:t>
      </w:r>
      <w:r>
        <w:rPr>
          <w:rFonts w:ascii="宋体" w:hAnsi="宋体"/>
          <w:szCs w:val="21"/>
        </w:rPr>
        <w:t>IS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利率的决定与</w:t>
      </w:r>
      <w:r>
        <w:rPr>
          <w:rFonts w:ascii="宋体" w:hAnsi="宋体"/>
          <w:szCs w:val="21"/>
        </w:rPr>
        <w:t>LM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IS-LM </w:t>
      </w:r>
      <w:r>
        <w:rPr>
          <w:rFonts w:ascii="宋体" w:hAnsi="宋体" w:hint="eastAsia"/>
          <w:szCs w:val="21"/>
        </w:rPr>
        <w:t>分析与凯恩斯的基本理论框架</w:t>
      </w:r>
      <w:r>
        <w:rPr>
          <w:rFonts w:ascii="宋体"/>
          <w:szCs w:val="21"/>
        </w:rPr>
        <w:t>.</w:t>
      </w:r>
    </w:p>
    <w:p w:rsidR="00FC31F8" w:rsidRDefault="00FC31F8" w:rsidP="005E7934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十二、宏观经济政策分析与实践</w:t>
      </w:r>
    </w:p>
    <w:p w:rsidR="00FC31F8" w:rsidRDefault="00FC31F8" w:rsidP="0038596A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财政政策和货币政策的内涵、两类政策效果的影响因素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财政政策和货币政策组合使用的政策效应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宏观经济政策的目标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宏观经济政策及理论的演变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财政政策的基本政策工具，自动稳定器的含义及作用机制</w:t>
      </w:r>
      <w:r>
        <w:rPr>
          <w:rFonts w:ascii="宋体"/>
          <w:szCs w:val="21"/>
        </w:rPr>
        <w:t>.</w:t>
      </w:r>
    </w:p>
    <w:p w:rsidR="00FC31F8" w:rsidRPr="005E7934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中央银行和商业银行的功能，存款创造和货币供给，货币政策的政策工具</w:t>
      </w:r>
      <w:r>
        <w:rPr>
          <w:rFonts w:ascii="宋体"/>
          <w:szCs w:val="21"/>
        </w:rPr>
        <w:t>.</w:t>
      </w:r>
    </w:p>
    <w:p w:rsidR="00FC31F8" w:rsidRPr="00EC0FC6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十三、</w:t>
      </w:r>
      <w:r w:rsidR="006108B5">
        <w:rPr>
          <w:rFonts w:ascii="宋体" w:hint="eastAsia"/>
          <w:szCs w:val="21"/>
        </w:rPr>
        <w:t>总供给-总需求模型、失业与通货膨胀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总需求</w:t>
      </w:r>
      <w:r>
        <w:rPr>
          <w:rFonts w:ascii="宋体"/>
          <w:szCs w:val="21"/>
        </w:rPr>
        <w:t>-</w:t>
      </w:r>
      <w:r>
        <w:rPr>
          <w:rFonts w:ascii="宋体" w:hint="eastAsia"/>
          <w:szCs w:val="21"/>
        </w:rPr>
        <w:t>总供给模型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失业与通货膨胀的定义、成因和治理</w:t>
      </w:r>
      <w:r>
        <w:rPr>
          <w:rFonts w:ascii="宋体"/>
          <w:szCs w:val="21"/>
        </w:rPr>
        <w:t xml:space="preserve">. 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开放经济下的短期经济模型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十四、经济增长和经济周期理论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经济增长的概念与决定因素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新古典经济增长模型与内生经济增长模型的基本特点</w:t>
      </w:r>
      <w:r>
        <w:rPr>
          <w:rFonts w:ascii="宋体"/>
          <w:szCs w:val="21"/>
        </w:rPr>
        <w:t>,</w:t>
      </w:r>
      <w:r>
        <w:rPr>
          <w:rFonts w:ascii="宋体" w:hint="eastAsia"/>
          <w:szCs w:val="21"/>
        </w:rPr>
        <w:t>促进经济增长的政府政策</w:t>
      </w:r>
      <w:r>
        <w:rPr>
          <w:rFonts w:ascii="宋体"/>
          <w:szCs w:val="21"/>
        </w:rPr>
        <w:t>.</w:t>
      </w:r>
    </w:p>
    <w:p w:rsidR="00FC31F8" w:rsidRDefault="00FC31F8" w:rsidP="00491A27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经济周期的含义与特征</w:t>
      </w:r>
      <w:r>
        <w:rPr>
          <w:rFonts w:ascii="宋体"/>
          <w:szCs w:val="21"/>
        </w:rPr>
        <w:t>.</w:t>
      </w:r>
    </w:p>
    <w:p w:rsidR="00CF3D24" w:rsidRDefault="00CF3D24" w:rsidP="00E36614">
      <w:pPr>
        <w:pStyle w:val="a7"/>
        <w:ind w:left="780" w:firstLineChars="0" w:firstLine="0"/>
      </w:pPr>
    </w:p>
    <w:p w:rsidR="00E36614" w:rsidRPr="00D07B48" w:rsidRDefault="00E36614" w:rsidP="00D07B48">
      <w:pPr>
        <w:rPr>
          <w:rFonts w:ascii="宋体"/>
          <w:szCs w:val="21"/>
        </w:rPr>
      </w:pPr>
      <w:r>
        <w:rPr>
          <w:rFonts w:hint="eastAsia"/>
        </w:rPr>
        <w:t>复习参考资料：《西方经济学》（第</w:t>
      </w:r>
      <w:r>
        <w:rPr>
          <w:rFonts w:hint="eastAsia"/>
        </w:rPr>
        <w:t>6</w:t>
      </w:r>
      <w:r>
        <w:rPr>
          <w:rFonts w:hint="eastAsia"/>
        </w:rPr>
        <w:t>版），高鸿业主编，中国人民大学出版社，</w:t>
      </w:r>
      <w:r>
        <w:rPr>
          <w:rFonts w:hint="eastAsia"/>
        </w:rPr>
        <w:t>2014</w:t>
      </w:r>
    </w:p>
    <w:sectPr w:rsidR="00E36614" w:rsidRPr="00D07B48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CB" w:rsidRDefault="00FC18CB" w:rsidP="004F0789">
      <w:r>
        <w:separator/>
      </w:r>
    </w:p>
  </w:endnote>
  <w:endnote w:type="continuationSeparator" w:id="0">
    <w:p w:rsidR="00FC18CB" w:rsidRDefault="00FC18CB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CB" w:rsidRDefault="00FC18CB" w:rsidP="004F0789">
      <w:r>
        <w:separator/>
      </w:r>
    </w:p>
  </w:footnote>
  <w:footnote w:type="continuationSeparator" w:id="0">
    <w:p w:rsidR="00FC18CB" w:rsidRDefault="00FC18CB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  <w:rPr>
        <w:rFonts w:cs="Times New Roman"/>
      </w:rPr>
    </w:lvl>
  </w:abstractNum>
  <w:abstractNum w:abstractNumId="1" w15:restartNumberingAfterBreak="0">
    <w:nsid w:val="167718AB"/>
    <w:multiLevelType w:val="hybridMultilevel"/>
    <w:tmpl w:val="D3F0357E"/>
    <w:lvl w:ilvl="0" w:tplc="C50AC8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  <w:rPr>
        <w:rFonts w:cs="Times New Roman"/>
      </w:rPr>
    </w:lvl>
  </w:abstractNum>
  <w:abstractNum w:abstractNumId="3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53842411"/>
    <w:multiLevelType w:val="hybridMultilevel"/>
    <w:tmpl w:val="A402620E"/>
    <w:lvl w:ilvl="0" w:tplc="2BBEA6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E1E77B5"/>
    <w:multiLevelType w:val="hybridMultilevel"/>
    <w:tmpl w:val="DE285E88"/>
    <w:lvl w:ilvl="0" w:tplc="1F9E5EB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65B3554D"/>
    <w:multiLevelType w:val="hybridMultilevel"/>
    <w:tmpl w:val="71B6D97A"/>
    <w:lvl w:ilvl="0" w:tplc="742AD45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87074"/>
    <w:rsid w:val="000C12DE"/>
    <w:rsid w:val="000E3C3B"/>
    <w:rsid w:val="000F0BB3"/>
    <w:rsid w:val="00103841"/>
    <w:rsid w:val="00137D25"/>
    <w:rsid w:val="0019129B"/>
    <w:rsid w:val="001A2E7F"/>
    <w:rsid w:val="001A33F8"/>
    <w:rsid w:val="001B717B"/>
    <w:rsid w:val="001C2A20"/>
    <w:rsid w:val="00203327"/>
    <w:rsid w:val="00245E19"/>
    <w:rsid w:val="002953F4"/>
    <w:rsid w:val="002F68C8"/>
    <w:rsid w:val="003003E9"/>
    <w:rsid w:val="003006BF"/>
    <w:rsid w:val="0030486D"/>
    <w:rsid w:val="00304BCD"/>
    <w:rsid w:val="0032345D"/>
    <w:rsid w:val="003257B3"/>
    <w:rsid w:val="00334652"/>
    <w:rsid w:val="0034447B"/>
    <w:rsid w:val="0035275E"/>
    <w:rsid w:val="0038596A"/>
    <w:rsid w:val="00391D07"/>
    <w:rsid w:val="003B0E7D"/>
    <w:rsid w:val="003F6CE4"/>
    <w:rsid w:val="00400801"/>
    <w:rsid w:val="00416F6C"/>
    <w:rsid w:val="00491A27"/>
    <w:rsid w:val="004C00D8"/>
    <w:rsid w:val="004D1D0F"/>
    <w:rsid w:val="004D3AEB"/>
    <w:rsid w:val="004E7143"/>
    <w:rsid w:val="004F0789"/>
    <w:rsid w:val="004F46E7"/>
    <w:rsid w:val="004F6C0B"/>
    <w:rsid w:val="00525E0D"/>
    <w:rsid w:val="00561017"/>
    <w:rsid w:val="005710AE"/>
    <w:rsid w:val="005C507C"/>
    <w:rsid w:val="005D5E22"/>
    <w:rsid w:val="005E7934"/>
    <w:rsid w:val="005F29B1"/>
    <w:rsid w:val="006108B5"/>
    <w:rsid w:val="00671D83"/>
    <w:rsid w:val="006D2509"/>
    <w:rsid w:val="0070713F"/>
    <w:rsid w:val="00732EF1"/>
    <w:rsid w:val="0073490F"/>
    <w:rsid w:val="00735170"/>
    <w:rsid w:val="007D21F5"/>
    <w:rsid w:val="007E4758"/>
    <w:rsid w:val="008054BD"/>
    <w:rsid w:val="00815B2C"/>
    <w:rsid w:val="00843767"/>
    <w:rsid w:val="00896868"/>
    <w:rsid w:val="008A404E"/>
    <w:rsid w:val="008D781D"/>
    <w:rsid w:val="00902D8D"/>
    <w:rsid w:val="009100DE"/>
    <w:rsid w:val="00933695"/>
    <w:rsid w:val="009511A6"/>
    <w:rsid w:val="00972587"/>
    <w:rsid w:val="009C0220"/>
    <w:rsid w:val="009C5221"/>
    <w:rsid w:val="00A671C8"/>
    <w:rsid w:val="00A7468B"/>
    <w:rsid w:val="00A84E22"/>
    <w:rsid w:val="00AA04A5"/>
    <w:rsid w:val="00AE3164"/>
    <w:rsid w:val="00AE3209"/>
    <w:rsid w:val="00B206A2"/>
    <w:rsid w:val="00B25375"/>
    <w:rsid w:val="00B47861"/>
    <w:rsid w:val="00B47FAE"/>
    <w:rsid w:val="00BA7F63"/>
    <w:rsid w:val="00BB65C0"/>
    <w:rsid w:val="00BC1A81"/>
    <w:rsid w:val="00C03EB2"/>
    <w:rsid w:val="00C23395"/>
    <w:rsid w:val="00C838CD"/>
    <w:rsid w:val="00C967A3"/>
    <w:rsid w:val="00CD30EE"/>
    <w:rsid w:val="00CD4B2B"/>
    <w:rsid w:val="00CE0A87"/>
    <w:rsid w:val="00CE3983"/>
    <w:rsid w:val="00CF3D24"/>
    <w:rsid w:val="00D07B48"/>
    <w:rsid w:val="00D23F05"/>
    <w:rsid w:val="00D306F9"/>
    <w:rsid w:val="00D478AA"/>
    <w:rsid w:val="00D64E21"/>
    <w:rsid w:val="00DA2364"/>
    <w:rsid w:val="00DB27C5"/>
    <w:rsid w:val="00DE67FF"/>
    <w:rsid w:val="00E36614"/>
    <w:rsid w:val="00E75E9C"/>
    <w:rsid w:val="00E86D60"/>
    <w:rsid w:val="00EA2D4A"/>
    <w:rsid w:val="00EC069D"/>
    <w:rsid w:val="00EC0FC6"/>
    <w:rsid w:val="00F4284A"/>
    <w:rsid w:val="00F70B19"/>
    <w:rsid w:val="00F94CB9"/>
    <w:rsid w:val="00FA75AB"/>
    <w:rsid w:val="00FA7788"/>
    <w:rsid w:val="00FC18CB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11844"/>
  <w15:docId w15:val="{49D75780-17DA-49C0-8484-1FA7920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3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53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5</cp:revision>
  <cp:lastPrinted>2020-09-01T01:17:00Z</cp:lastPrinted>
  <dcterms:created xsi:type="dcterms:W3CDTF">2019-09-04T06:16:00Z</dcterms:created>
  <dcterms:modified xsi:type="dcterms:W3CDTF">2020-09-03T02:13:00Z</dcterms:modified>
</cp:coreProperties>
</file>