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szCs w:val="32"/>
          <w:lang w:val="en-US" w:eastAsia="zh-CN"/>
        </w:rPr>
      </w:pPr>
      <w:r>
        <w:rPr>
          <w:rFonts w:hint="eastAsia" w:ascii="黑体" w:eastAsia="黑体"/>
          <w:b/>
          <w:sz w:val="32"/>
          <w:szCs w:val="32"/>
        </w:rPr>
        <w:t>武汉工程大学202</w:t>
      </w:r>
      <w:r>
        <w:rPr>
          <w:rFonts w:hint="eastAsia" w:ascii="黑体" w:eastAsia="黑体"/>
          <w:b/>
          <w:sz w:val="32"/>
          <w:szCs w:val="32"/>
          <w:lang w:val="en-US" w:eastAsia="zh-CN"/>
        </w:rPr>
        <w:t>1</w:t>
      </w:r>
      <w:bookmarkStart w:id="0" w:name="_GoBack"/>
      <w:bookmarkEnd w:id="0"/>
      <w:r>
        <w:rPr>
          <w:rFonts w:hint="eastAsia" w:ascii="黑体" w:eastAsia="黑体"/>
          <w:b/>
          <w:sz w:val="32"/>
          <w:szCs w:val="32"/>
        </w:rPr>
        <w:t>年硕士研究生</w:t>
      </w:r>
      <w:r>
        <w:rPr>
          <w:rFonts w:hint="eastAsia" w:ascii="黑体" w:eastAsia="黑体"/>
          <w:b/>
          <w:sz w:val="32"/>
          <w:szCs w:val="32"/>
          <w:lang w:val="en-US" w:eastAsia="zh-CN"/>
        </w:rPr>
        <w:t>复试</w:t>
      </w:r>
    </w:p>
    <w:p>
      <w:pPr>
        <w:jc w:val="center"/>
        <w:rPr>
          <w:rFonts w:hint="eastAsia" w:ascii="黑体" w:eastAsia="黑体"/>
          <w:b/>
          <w:sz w:val="32"/>
          <w:szCs w:val="32"/>
        </w:rPr>
      </w:pPr>
      <w:r>
        <w:rPr>
          <w:rFonts w:hint="eastAsia" w:ascii="黑体" w:eastAsia="黑体"/>
          <w:b/>
          <w:sz w:val="32"/>
          <w:szCs w:val="32"/>
        </w:rPr>
        <w:t>《</w:t>
      </w:r>
      <w:r>
        <w:rPr>
          <w:rFonts w:hint="eastAsia" w:ascii="黑体" w:eastAsia="黑体"/>
          <w:b/>
          <w:sz w:val="32"/>
          <w:szCs w:val="32"/>
          <w:lang w:val="en-US" w:eastAsia="zh-CN"/>
        </w:rPr>
        <w:t>财会</w:t>
      </w:r>
      <w:r>
        <w:rPr>
          <w:rFonts w:hint="eastAsia" w:ascii="黑体" w:eastAsia="黑体"/>
          <w:b/>
          <w:sz w:val="32"/>
          <w:szCs w:val="32"/>
        </w:rPr>
        <w:t>综合》考试大纲</w:t>
      </w:r>
    </w:p>
    <w:p>
      <w:pPr>
        <w:rPr>
          <w:rFonts w:hint="eastAsia" w:eastAsiaTheme="minorEastAsia"/>
          <w:color w:val="3E3E3E"/>
          <w:szCs w:val="21"/>
          <w:shd w:val="clear" w:color="auto" w:fill="FFFFFF"/>
          <w:lang w:val="en-US" w:eastAsia="zh-CN"/>
        </w:rPr>
      </w:pPr>
      <w:r>
        <w:rPr>
          <w:rFonts w:hint="eastAsia"/>
          <w:color w:val="3E3E3E"/>
          <w:szCs w:val="21"/>
          <w:shd w:val="clear" w:color="auto" w:fill="FFFFFF"/>
          <w:lang w:val="en-US" w:eastAsia="zh-CN"/>
        </w:rPr>
        <w:t xml:space="preserve"> </w:t>
      </w:r>
    </w:p>
    <w:p>
      <w:pPr>
        <w:rPr>
          <w:rFonts w:hint="eastAsia" w:ascii="宋体" w:hAnsi="宋体" w:eastAsia="宋体" w:cs="宋体"/>
          <w:b/>
          <w:bCs/>
          <w:color w:val="3E3E3E"/>
          <w:sz w:val="30"/>
          <w:szCs w:val="30"/>
          <w:shd w:val="clear" w:color="auto" w:fill="FFFFFF"/>
          <w:lang w:eastAsia="zh-CN"/>
        </w:rPr>
      </w:pPr>
      <w:r>
        <w:rPr>
          <w:rFonts w:hint="eastAsia" w:ascii="宋体" w:hAnsi="宋体" w:eastAsia="宋体" w:cs="宋体"/>
          <w:b/>
          <w:bCs/>
          <w:color w:val="3E3E3E"/>
          <w:sz w:val="30"/>
          <w:szCs w:val="30"/>
          <w:shd w:val="clear" w:color="auto" w:fill="FFFFFF"/>
        </w:rPr>
        <w:t>一、</w:t>
      </w:r>
      <w:r>
        <w:rPr>
          <w:rFonts w:hint="eastAsia" w:ascii="宋体" w:hAnsi="宋体" w:eastAsia="宋体" w:cs="宋体"/>
          <w:b/>
          <w:bCs/>
          <w:color w:val="3E3E3E"/>
          <w:sz w:val="30"/>
          <w:szCs w:val="30"/>
          <w:shd w:val="clear" w:color="auto" w:fill="FFFFFF"/>
          <w:lang w:eastAsia="zh-CN"/>
        </w:rPr>
        <w:t>考试目的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val="0"/>
          <w:i w:val="0"/>
          <w:caps w:val="0"/>
          <w:color w:val="000000"/>
          <w:spacing w:val="0"/>
          <w:sz w:val="24"/>
          <w:szCs w:val="24"/>
          <w:lang w:eastAsia="zh-CN"/>
        </w:rPr>
      </w:pPr>
      <w:r>
        <w:rPr>
          <w:rFonts w:hint="eastAsia"/>
          <w:color w:val="3E3E3E"/>
          <w:szCs w:val="21"/>
          <w:shd w:val="clear" w:color="auto" w:fill="FFFFFF"/>
        </w:rPr>
        <w:t xml:space="preserve"> </w:t>
      </w:r>
      <w:r>
        <w:rPr>
          <w:rFonts w:hint="eastAsia" w:ascii="宋体" w:hAnsi="宋体" w:eastAsia="宋体" w:cs="宋体"/>
          <w:color w:val="3E3E3E"/>
          <w:szCs w:val="21"/>
          <w:shd w:val="clear" w:color="auto" w:fill="FFFFFF"/>
        </w:rPr>
        <w:t xml:space="preserve">  </w:t>
      </w:r>
      <w:r>
        <w:rPr>
          <w:rFonts w:hint="eastAsia" w:ascii="宋体" w:hAnsi="宋体" w:eastAsia="宋体" w:cs="宋体"/>
          <w:color w:val="3E3E3E"/>
          <w:sz w:val="24"/>
          <w:szCs w:val="24"/>
          <w:shd w:val="clear" w:color="auto" w:fill="FFFFFF"/>
          <w:lang w:eastAsia="zh-CN"/>
        </w:rPr>
        <w:t>《</w:t>
      </w:r>
      <w:r>
        <w:rPr>
          <w:rFonts w:hint="eastAsia" w:ascii="宋体" w:hAnsi="宋体" w:eastAsia="宋体" w:cs="宋体"/>
          <w:color w:val="3E3E3E"/>
          <w:sz w:val="24"/>
          <w:szCs w:val="24"/>
          <w:shd w:val="clear" w:color="auto" w:fill="FFFFFF"/>
          <w:lang w:val="en-US" w:eastAsia="zh-CN"/>
        </w:rPr>
        <w:t>财会</w:t>
      </w:r>
      <w:r>
        <w:rPr>
          <w:rFonts w:hint="eastAsia" w:ascii="宋体" w:hAnsi="宋体" w:eastAsia="宋体" w:cs="宋体"/>
          <w:color w:val="3E3E3E"/>
          <w:sz w:val="24"/>
          <w:szCs w:val="24"/>
          <w:shd w:val="clear" w:color="auto" w:fill="FFFFFF"/>
          <w:lang w:eastAsia="zh-CN"/>
        </w:rPr>
        <w:t>综合》是武汉工程大学为了招收会计专业硕士而设置的具有选拔性质的招生考试科目，考核的</w:t>
      </w:r>
      <w:r>
        <w:rPr>
          <w:rFonts w:hint="eastAsia" w:ascii="宋体" w:hAnsi="宋体" w:eastAsia="宋体" w:cs="宋体"/>
          <w:b w:val="0"/>
          <w:i w:val="0"/>
          <w:caps w:val="0"/>
          <w:color w:val="000000"/>
          <w:spacing w:val="0"/>
          <w:sz w:val="24"/>
          <w:szCs w:val="24"/>
        </w:rPr>
        <w:t>目的</w:t>
      </w:r>
      <w:r>
        <w:rPr>
          <w:rFonts w:hint="eastAsia" w:ascii="宋体" w:hAnsi="宋体" w:eastAsia="宋体" w:cs="宋体"/>
          <w:b w:val="0"/>
          <w:i w:val="0"/>
          <w:caps w:val="0"/>
          <w:color w:val="000000"/>
          <w:spacing w:val="0"/>
          <w:sz w:val="24"/>
          <w:szCs w:val="24"/>
          <w:lang w:eastAsia="zh-CN"/>
        </w:rPr>
        <w:t>在于</w:t>
      </w:r>
      <w:r>
        <w:rPr>
          <w:rFonts w:hint="eastAsia" w:ascii="宋体" w:hAnsi="宋体" w:eastAsia="宋体" w:cs="宋体"/>
          <w:b w:val="0"/>
          <w:i w:val="0"/>
          <w:caps w:val="0"/>
          <w:color w:val="000000"/>
          <w:spacing w:val="0"/>
          <w:sz w:val="24"/>
          <w:szCs w:val="24"/>
        </w:rPr>
        <w:t>科学、公平、有效地测试考生</w:t>
      </w:r>
      <w:r>
        <w:rPr>
          <w:rFonts w:hint="eastAsia" w:ascii="宋体" w:hAnsi="宋体" w:eastAsia="宋体" w:cs="宋体"/>
          <w:b w:val="0"/>
          <w:i w:val="0"/>
          <w:caps w:val="0"/>
          <w:color w:val="000000"/>
          <w:spacing w:val="0"/>
          <w:sz w:val="24"/>
          <w:szCs w:val="24"/>
          <w:lang w:eastAsia="zh-CN"/>
        </w:rPr>
        <w:t>是否具备攻读会计专业硕士所应具备的</w:t>
      </w:r>
      <w:r>
        <w:rPr>
          <w:rFonts w:hint="eastAsia" w:ascii="宋体" w:hAnsi="宋体" w:eastAsia="宋体" w:cs="宋体"/>
          <w:b w:val="0"/>
          <w:i w:val="0"/>
          <w:caps w:val="0"/>
          <w:color w:val="000000"/>
          <w:spacing w:val="0"/>
          <w:sz w:val="24"/>
          <w:szCs w:val="24"/>
        </w:rPr>
        <w:t>基本知识、基本理论</w:t>
      </w:r>
      <w:r>
        <w:rPr>
          <w:rFonts w:hint="eastAsia" w:ascii="宋体" w:hAnsi="宋体" w:eastAsia="宋体" w:cs="宋体"/>
          <w:b w:val="0"/>
          <w:i w:val="0"/>
          <w:caps w:val="0"/>
          <w:color w:val="000000"/>
          <w:spacing w:val="0"/>
          <w:sz w:val="24"/>
          <w:szCs w:val="24"/>
          <w:lang w:eastAsia="zh-CN"/>
        </w:rPr>
        <w:t>和培养潜能</w:t>
      </w:r>
      <w:r>
        <w:rPr>
          <w:rFonts w:hint="eastAsia" w:ascii="宋体" w:hAnsi="宋体" w:eastAsia="宋体" w:cs="宋体"/>
          <w:b w:val="0"/>
          <w:i w:val="0"/>
          <w:caps w:val="0"/>
          <w:color w:val="000000"/>
          <w:spacing w:val="0"/>
          <w:sz w:val="24"/>
          <w:szCs w:val="24"/>
        </w:rPr>
        <w:t>，</w:t>
      </w:r>
      <w:r>
        <w:rPr>
          <w:rFonts w:hint="eastAsia" w:ascii="宋体" w:hAnsi="宋体" w:eastAsia="宋体" w:cs="宋体"/>
          <w:b w:val="0"/>
          <w:i w:val="0"/>
          <w:caps w:val="0"/>
          <w:color w:val="000000"/>
          <w:spacing w:val="0"/>
          <w:sz w:val="24"/>
          <w:szCs w:val="24"/>
          <w:lang w:eastAsia="zh-CN"/>
        </w:rPr>
        <w:t>以选拔具有良好的专业基础和学习能力的优秀人才，确保会计专业硕士的招生质量。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bCs/>
          <w:i w:val="0"/>
          <w:caps w:val="0"/>
          <w:color w:val="000000"/>
          <w:spacing w:val="0"/>
          <w:sz w:val="30"/>
          <w:szCs w:val="30"/>
          <w:lang w:eastAsia="zh-CN"/>
        </w:rPr>
      </w:pPr>
      <w:r>
        <w:rPr>
          <w:rFonts w:hint="eastAsia" w:ascii="宋体" w:hAnsi="宋体" w:eastAsia="宋体" w:cs="宋体"/>
          <w:b/>
          <w:bCs/>
          <w:i w:val="0"/>
          <w:caps w:val="0"/>
          <w:color w:val="000000"/>
          <w:spacing w:val="0"/>
          <w:sz w:val="30"/>
          <w:szCs w:val="30"/>
          <w:lang w:eastAsia="zh-CN"/>
        </w:rPr>
        <w:t>考试内容及构成</w:t>
      </w:r>
    </w:p>
    <w:tbl>
      <w:tblPr>
        <w:tblStyle w:val="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firstLine="1440" w:firstLineChars="60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考试内容</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财务会计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财务管理</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成本与管理会计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审计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10%</w:t>
            </w:r>
          </w:p>
        </w:tc>
      </w:tr>
    </w:tbl>
    <w:p>
      <w:pPr>
        <w:pStyle w:val="10"/>
        <w:numPr>
          <w:ilvl w:val="0"/>
          <w:numId w:val="0"/>
        </w:numPr>
        <w:spacing w:before="0" w:beforeAutospacing="0" w:after="0" w:afterAutospacing="0"/>
        <w:rPr>
          <w:rFonts w:hint="eastAsia" w:ascii="宋体" w:hAnsi="宋体" w:eastAsia="宋体" w:cs="宋体"/>
          <w:b/>
          <w:lang w:val="en-US" w:eastAsia="zh-CN"/>
        </w:rPr>
      </w:pPr>
      <w:r>
        <w:rPr>
          <w:rFonts w:hint="eastAsia" w:ascii="宋体" w:hAnsi="宋体" w:eastAsia="宋体" w:cs="宋体"/>
          <w:b w:val="0"/>
          <w:bCs/>
          <w:lang w:val="en-US" w:eastAsia="zh-CN"/>
        </w:rPr>
        <w:t>具体内容如下</w:t>
      </w:r>
      <w:r>
        <w:rPr>
          <w:rFonts w:hint="eastAsia" w:ascii="宋体" w:hAnsi="宋体" w:eastAsia="宋体" w:cs="宋体"/>
          <w:b/>
          <w:lang w:val="en-US" w:eastAsia="zh-CN"/>
        </w:rPr>
        <w:t>：</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default" w:ascii="宋体" w:hAnsi="宋体" w:eastAsia="宋体" w:cs="宋体"/>
          <w:b/>
          <w:lang w:val="en-US" w:eastAsia="zh-CN"/>
        </w:rPr>
      </w:pPr>
      <w:r>
        <w:rPr>
          <w:rFonts w:hint="eastAsia" w:cs="宋体"/>
          <w:b/>
          <w:lang w:val="en-US" w:eastAsia="zh-CN"/>
        </w:rPr>
        <w:t>第1部分：财务会计</w:t>
      </w:r>
    </w:p>
    <w:p>
      <w:pPr>
        <w:keepNext w:val="0"/>
        <w:keepLines w:val="0"/>
        <w:pageBreakBefore w:val="0"/>
        <w:numPr>
          <w:ilvl w:val="0"/>
          <w:numId w:val="2"/>
        </w:numPr>
        <w:kinsoku/>
        <w:wordWrap/>
        <w:overflowPunct/>
        <w:topLinePunct w:val="0"/>
        <w:autoSpaceDE/>
        <w:autoSpaceDN/>
        <w:bidi w:val="0"/>
        <w:adjustRightInd/>
        <w:snapToGrid/>
        <w:spacing w:line="240" w:lineRule="atLeast"/>
        <w:ind w:left="237" w:leftChars="0" w:hanging="237" w:firstLineChars="0"/>
        <w:textAlignment w:val="auto"/>
        <w:rPr>
          <w:rFonts w:ascii="宋体" w:hAnsi="宋体" w:eastAsia="宋体" w:cs="Times New Roman"/>
          <w:szCs w:val="21"/>
        </w:rPr>
      </w:pPr>
      <w:r>
        <w:rPr>
          <w:rFonts w:hint="eastAsia" w:ascii="宋体" w:hAnsi="宋体" w:eastAsia="宋体" w:cs="Times New Roman"/>
          <w:b/>
          <w:szCs w:val="21"/>
        </w:rPr>
        <w:t>概念框架</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firstLine="420" w:firstLineChars="200"/>
        <w:textAlignment w:val="auto"/>
        <w:rPr>
          <w:rFonts w:ascii="宋体" w:hAnsi="宋体" w:eastAsia="宋体" w:cs="Times New Roman"/>
          <w:szCs w:val="21"/>
        </w:rPr>
      </w:pPr>
      <w:r>
        <w:rPr>
          <w:rFonts w:hint="eastAsia" w:ascii="宋体" w:hAnsi="宋体" w:eastAsia="宋体" w:cs="Times New Roman"/>
          <w:szCs w:val="21"/>
        </w:rPr>
        <w:t xml:space="preserve">1.1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会计基本假设</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420" w:firstLineChars="200"/>
        <w:textAlignment w:val="auto"/>
        <w:rPr>
          <w:rFonts w:ascii="宋体" w:hAnsi="宋体" w:eastAsia="宋体" w:cs="Times New Roman"/>
          <w:szCs w:val="21"/>
        </w:rPr>
      </w:pPr>
      <w:r>
        <w:rPr>
          <w:rFonts w:hint="eastAsia" w:ascii="宋体" w:hAnsi="宋体" w:eastAsia="宋体" w:cs="Times New Roman"/>
          <w:szCs w:val="21"/>
        </w:rPr>
        <w:t>1.2</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eastAsia="zh-CN"/>
        </w:rPr>
        <w:t>会计对象与</w:t>
      </w:r>
      <w:r>
        <w:rPr>
          <w:rFonts w:hint="eastAsia" w:ascii="宋体" w:hAnsi="宋体" w:eastAsia="宋体" w:cs="Times New Roman"/>
          <w:szCs w:val="21"/>
        </w:rPr>
        <w:t>会计要素</w:t>
      </w:r>
    </w:p>
    <w:p>
      <w:pPr>
        <w:keepNext w:val="0"/>
        <w:keepLines w:val="0"/>
        <w:pageBreakBefore w:val="0"/>
        <w:numPr>
          <w:ilvl w:val="0"/>
          <w:numId w:val="0"/>
        </w:numPr>
        <w:kinsoku/>
        <w:wordWrap/>
        <w:overflowPunct/>
        <w:topLinePunct w:val="0"/>
        <w:autoSpaceDE/>
        <w:autoSpaceDN/>
        <w:bidi w:val="0"/>
        <w:adjustRightInd/>
        <w:snapToGrid/>
        <w:spacing w:line="240" w:lineRule="atLeast"/>
        <w:ind w:left="420" w:leftChars="200" w:firstLine="2" w:firstLineChars="1"/>
        <w:textAlignment w:val="auto"/>
        <w:rPr>
          <w:rFonts w:ascii="宋体" w:hAnsi="宋体" w:eastAsia="宋体" w:cs="Times New Roman"/>
          <w:szCs w:val="21"/>
        </w:rPr>
      </w:pPr>
      <w:r>
        <w:rPr>
          <w:rFonts w:hint="eastAsia" w:ascii="宋体" w:hAnsi="宋体" w:eastAsia="宋体" w:cs="Times New Roman"/>
          <w:szCs w:val="21"/>
        </w:rPr>
        <w:t xml:space="preserve">1.3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会计确认</w:t>
      </w:r>
      <w:r>
        <w:rPr>
          <w:rFonts w:hint="eastAsia" w:ascii="宋体" w:hAnsi="宋体" w:eastAsia="宋体" w:cs="Times New Roman"/>
          <w:szCs w:val="21"/>
          <w:lang w:eastAsia="zh-CN"/>
        </w:rPr>
        <w:t>的基础（权责发生制与收付实现制）</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 xml:space="preserve">4 </w:t>
      </w:r>
      <w:r>
        <w:rPr>
          <w:rFonts w:hint="eastAsia" w:ascii="宋体" w:hAnsi="宋体" w:eastAsia="宋体" w:cs="Times New Roman"/>
          <w:szCs w:val="21"/>
        </w:rPr>
        <w:t xml:space="preserve"> 会计信息质量要求</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b/>
          <w:bCs/>
          <w:szCs w:val="21"/>
        </w:rPr>
      </w:pPr>
      <w:r>
        <w:rPr>
          <w:rFonts w:hint="eastAsia" w:ascii="宋体" w:hAnsi="宋体" w:eastAsia="宋体" w:cs="Times New Roman"/>
          <w:b/>
          <w:bCs/>
          <w:szCs w:val="21"/>
          <w:lang w:val="en-US" w:eastAsia="zh-CN"/>
        </w:rPr>
        <w:t>2.</w:t>
      </w:r>
      <w:r>
        <w:rPr>
          <w:rFonts w:ascii="宋体" w:hAnsi="宋体" w:eastAsia="宋体" w:cs="Times New Roman"/>
          <w:b/>
          <w:bCs/>
          <w:szCs w:val="21"/>
        </w:rPr>
        <w:t xml:space="preserve"> 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eastAsia="宋体" w:cs="Times New Roman"/>
          <w:szCs w:val="21"/>
          <w:lang w:val="en-US" w:eastAsia="zh-CN"/>
        </w:rPr>
        <w:t>2.1</w:t>
      </w:r>
      <w:r>
        <w:rPr>
          <w:rFonts w:ascii="宋体" w:hAnsi="宋体" w:eastAsia="宋体" w:cs="Times New Roman"/>
          <w:szCs w:val="21"/>
        </w:rPr>
        <w:t xml:space="preserve"> 金融资产的分类</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eastAsia="宋体" w:cs="Times New Roman"/>
          <w:szCs w:val="21"/>
          <w:lang w:val="en-US" w:eastAsia="zh-CN"/>
        </w:rPr>
        <w:t>2.2</w:t>
      </w:r>
      <w:r>
        <w:rPr>
          <w:rFonts w:ascii="宋体" w:hAnsi="宋体" w:eastAsia="宋体" w:cs="Times New Roman"/>
          <w:szCs w:val="21"/>
        </w:rPr>
        <w:t>以摊余成本计量的金融资产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Cs w:val="21"/>
        </w:rPr>
        <w:t>　</w:t>
      </w:r>
      <w:r>
        <w:rPr>
          <w:rFonts w:hint="eastAsia" w:ascii="宋体" w:hAnsi="宋体" w:eastAsia="宋体" w:cs="Times New Roman"/>
          <w:sz w:val="21"/>
          <w:szCs w:val="21"/>
        </w:rPr>
        <w:t>　</w:t>
      </w:r>
      <w:r>
        <w:rPr>
          <w:rFonts w:hint="eastAsia" w:ascii="宋体" w:hAnsi="宋体" w:eastAsia="宋体" w:cs="Times New Roman"/>
          <w:sz w:val="21"/>
          <w:szCs w:val="21"/>
          <w:lang w:val="en-US" w:eastAsia="zh-CN"/>
        </w:rPr>
        <w:t>2.3</w:t>
      </w:r>
      <w:r>
        <w:rPr>
          <w:rFonts w:ascii="宋体" w:hAnsi="宋体" w:eastAsia="宋体" w:cs="Times New Roman"/>
          <w:sz w:val="21"/>
          <w:szCs w:val="21"/>
        </w:rPr>
        <w:t>以公允价值计量且其变动计入其他综合收益的金融资产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 w:val="21"/>
          <w:szCs w:val="21"/>
        </w:rPr>
        <w:t>　　</w:t>
      </w:r>
      <w:r>
        <w:rPr>
          <w:rFonts w:hint="eastAsia" w:ascii="宋体" w:hAnsi="宋体" w:eastAsia="宋体" w:cs="Times New Roman"/>
          <w:sz w:val="21"/>
          <w:szCs w:val="21"/>
          <w:lang w:val="en-US" w:eastAsia="zh-CN"/>
        </w:rPr>
        <w:t>2.4</w:t>
      </w:r>
      <w:r>
        <w:rPr>
          <w:rFonts w:ascii="宋体" w:hAnsi="宋体" w:eastAsia="宋体" w:cs="Times New Roman"/>
          <w:sz w:val="21"/>
          <w:szCs w:val="21"/>
        </w:rPr>
        <w:t xml:space="preserve"> 以公允价值计量且其变动计入当期损益的金融资产</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ascii="宋体" w:hAnsi="宋体" w:eastAsia="宋体" w:cs="Times New Roman"/>
          <w:sz w:val="21"/>
          <w:szCs w:val="21"/>
        </w:rPr>
      </w:pPr>
      <w:r>
        <w:rPr>
          <w:rFonts w:hint="eastAsia" w:ascii="宋体" w:hAnsi="宋体" w:eastAsia="宋体" w:cs="Times New Roman"/>
          <w:b/>
          <w:sz w:val="21"/>
          <w:szCs w:val="21"/>
          <w:lang w:val="en-US" w:eastAsia="zh-CN"/>
        </w:rPr>
        <w:t>3.</w:t>
      </w:r>
      <w:r>
        <w:rPr>
          <w:rFonts w:hint="eastAsia" w:ascii="宋体" w:hAnsi="宋体" w:eastAsia="宋体" w:cs="Times New Roman"/>
          <w:b/>
          <w:sz w:val="21"/>
          <w:szCs w:val="21"/>
        </w:rPr>
        <w:t>存货</w:t>
      </w:r>
      <w:r>
        <w:rPr>
          <w:rFonts w:ascii="宋体" w:hAnsi="宋体" w:eastAsia="宋体" w:cs="Times New Roman"/>
          <w:sz w:val="21"/>
          <w:szCs w:val="21"/>
        </w:rPr>
        <w:br w:type="textWrapping"/>
      </w:r>
      <w:r>
        <w:rPr>
          <w:rFonts w:hint="eastAsia" w:ascii="宋体" w:hAnsi="宋体" w:eastAsia="宋体" w:cs="Times New Roman"/>
          <w:sz w:val="21"/>
          <w:szCs w:val="21"/>
        </w:rPr>
        <w:t>3.1 存货的初始计量与发出的计价方法</w:t>
      </w:r>
      <w:r>
        <w:rPr>
          <w:rFonts w:ascii="宋体" w:hAnsi="宋体" w:eastAsia="宋体" w:cs="Times New Roman"/>
          <w:sz w:val="21"/>
          <w:szCs w:val="21"/>
        </w:rPr>
        <w:br w:type="textWrapping"/>
      </w:r>
      <w:r>
        <w:rPr>
          <w:rFonts w:hint="eastAsia" w:ascii="宋体" w:hAnsi="宋体" w:eastAsia="宋体" w:cs="Times New Roman"/>
          <w:sz w:val="21"/>
          <w:szCs w:val="21"/>
        </w:rPr>
        <w:t>3.2 存货收发的核算</w:t>
      </w:r>
      <w:r>
        <w:rPr>
          <w:rFonts w:ascii="宋体" w:hAnsi="宋体" w:eastAsia="宋体" w:cs="Times New Roman"/>
          <w:sz w:val="21"/>
          <w:szCs w:val="21"/>
        </w:rPr>
        <w:br w:type="textWrapping"/>
      </w:r>
      <w:r>
        <w:rPr>
          <w:rFonts w:hint="eastAsia" w:ascii="宋体" w:hAnsi="宋体" w:eastAsia="宋体" w:cs="Times New Roman"/>
          <w:sz w:val="21"/>
          <w:szCs w:val="21"/>
        </w:rPr>
        <w:t>3.3 存货的期末计价</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hint="eastAsia" w:ascii="宋体" w:hAnsi="宋体" w:eastAsia="宋体" w:cs="Times New Roman"/>
          <w:szCs w:val="21"/>
        </w:rPr>
      </w:pPr>
      <w:r>
        <w:rPr>
          <w:rFonts w:hint="eastAsia" w:ascii="宋体" w:hAnsi="宋体" w:eastAsia="宋体" w:cs="Times New Roman"/>
          <w:b/>
          <w:szCs w:val="21"/>
          <w:lang w:val="en-US" w:eastAsia="zh-CN"/>
        </w:rPr>
        <w:t>4.</w:t>
      </w:r>
      <w:r>
        <w:rPr>
          <w:rFonts w:hint="eastAsia" w:ascii="宋体" w:hAnsi="宋体" w:eastAsia="宋体" w:cs="Times New Roman"/>
          <w:b/>
          <w:szCs w:val="21"/>
        </w:rPr>
        <w:t>长期股权投资</w:t>
      </w:r>
      <w:r>
        <w:rPr>
          <w:rFonts w:ascii="宋体" w:hAnsi="宋体" w:eastAsia="宋体" w:cs="Times New Roman"/>
          <w:szCs w:val="21"/>
        </w:rPr>
        <w:br w:type="textWrapping"/>
      </w:r>
      <w:r>
        <w:rPr>
          <w:rFonts w:hint="eastAsia" w:ascii="宋体" w:hAnsi="宋体" w:eastAsia="宋体" w:cs="Times New Roman"/>
          <w:szCs w:val="21"/>
        </w:rPr>
        <w:t>4.1 长期股权投资的初始计量</w:t>
      </w:r>
      <w:r>
        <w:rPr>
          <w:rFonts w:ascii="宋体" w:hAnsi="宋体" w:eastAsia="宋体" w:cs="Times New Roman"/>
          <w:szCs w:val="21"/>
        </w:rPr>
        <w:br w:type="textWrapping"/>
      </w:r>
      <w:r>
        <w:rPr>
          <w:rFonts w:hint="eastAsia" w:ascii="宋体" w:hAnsi="宋体" w:eastAsia="宋体" w:cs="Times New Roman"/>
          <w:szCs w:val="21"/>
        </w:rPr>
        <w:t>4.2 长期股权投资的后续计量</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5.</w:t>
      </w:r>
      <w:r>
        <w:rPr>
          <w:rFonts w:hint="eastAsia" w:ascii="宋体" w:hAnsi="宋体" w:eastAsia="宋体" w:cs="Times New Roman"/>
          <w:b/>
          <w:szCs w:val="21"/>
        </w:rPr>
        <w:t>固定资产</w:t>
      </w:r>
      <w:r>
        <w:rPr>
          <w:rFonts w:ascii="宋体" w:hAnsi="宋体" w:eastAsia="宋体" w:cs="Times New Roman"/>
          <w:szCs w:val="21"/>
        </w:rPr>
        <w:br w:type="textWrapping"/>
      </w:r>
      <w:r>
        <w:rPr>
          <w:rFonts w:hint="eastAsia" w:ascii="宋体" w:hAnsi="宋体" w:eastAsia="宋体" w:cs="Times New Roman"/>
          <w:szCs w:val="21"/>
        </w:rPr>
        <w:t>5.1 固定资产的初始计量</w:t>
      </w:r>
      <w:r>
        <w:rPr>
          <w:rFonts w:ascii="宋体" w:hAnsi="宋体" w:eastAsia="宋体" w:cs="Times New Roman"/>
          <w:szCs w:val="21"/>
        </w:rPr>
        <w:br w:type="textWrapping"/>
      </w:r>
      <w:r>
        <w:rPr>
          <w:rFonts w:hint="eastAsia" w:ascii="宋体" w:hAnsi="宋体" w:eastAsia="宋体" w:cs="Times New Roman"/>
          <w:szCs w:val="21"/>
        </w:rPr>
        <w:t>5.2 固定资产折旧</w:t>
      </w:r>
      <w:r>
        <w:rPr>
          <w:rFonts w:ascii="宋体" w:hAnsi="宋体" w:eastAsia="宋体" w:cs="Times New Roman"/>
          <w:szCs w:val="21"/>
        </w:rPr>
        <w:br w:type="textWrapping"/>
      </w:r>
      <w:r>
        <w:rPr>
          <w:rFonts w:hint="eastAsia" w:ascii="宋体" w:hAnsi="宋体" w:eastAsia="宋体" w:cs="Times New Roman"/>
          <w:szCs w:val="21"/>
        </w:rPr>
        <w:t>5.3 固定资产后续支出</w:t>
      </w:r>
      <w:r>
        <w:rPr>
          <w:rFonts w:ascii="宋体" w:hAnsi="宋体" w:eastAsia="宋体" w:cs="Times New Roman"/>
          <w:szCs w:val="21"/>
        </w:rPr>
        <w:br w:type="textWrapping"/>
      </w:r>
      <w:r>
        <w:rPr>
          <w:rFonts w:hint="eastAsia" w:ascii="宋体" w:hAnsi="宋体" w:eastAsia="宋体" w:cs="Times New Roman"/>
          <w:szCs w:val="21"/>
        </w:rPr>
        <w:t>5.4 固定资产的处置及减值</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6.</w:t>
      </w:r>
      <w:r>
        <w:rPr>
          <w:rFonts w:hint="eastAsia" w:ascii="宋体" w:hAnsi="宋体" w:eastAsia="宋体" w:cs="Times New Roman"/>
          <w:b/>
          <w:szCs w:val="21"/>
        </w:rPr>
        <w:t>无形资产</w:t>
      </w:r>
      <w:r>
        <w:rPr>
          <w:rFonts w:ascii="宋体" w:hAnsi="宋体" w:eastAsia="宋体" w:cs="Times New Roman"/>
          <w:szCs w:val="21"/>
        </w:rPr>
        <w:br w:type="textWrapping"/>
      </w:r>
      <w:r>
        <w:rPr>
          <w:rFonts w:hint="eastAsia" w:ascii="宋体" w:hAnsi="宋体" w:eastAsia="宋体" w:cs="Times New Roman"/>
          <w:szCs w:val="21"/>
        </w:rPr>
        <w:t>6.1 无形资产的初始计量</w:t>
      </w:r>
      <w:r>
        <w:rPr>
          <w:rFonts w:ascii="宋体" w:hAnsi="宋体" w:eastAsia="宋体" w:cs="Times New Roman"/>
          <w:szCs w:val="21"/>
        </w:rPr>
        <w:br w:type="textWrapping"/>
      </w:r>
      <w:r>
        <w:rPr>
          <w:rFonts w:hint="eastAsia" w:ascii="宋体" w:hAnsi="宋体" w:eastAsia="宋体" w:cs="Times New Roman"/>
          <w:szCs w:val="21"/>
        </w:rPr>
        <w:t>6.2 内部研究开发费用的确认与计量</w:t>
      </w:r>
      <w:r>
        <w:rPr>
          <w:rFonts w:ascii="宋体" w:hAnsi="宋体" w:eastAsia="宋体" w:cs="Times New Roman"/>
          <w:szCs w:val="21"/>
        </w:rPr>
        <w:br w:type="textWrapping"/>
      </w:r>
      <w:r>
        <w:rPr>
          <w:rFonts w:hint="eastAsia" w:ascii="宋体" w:hAnsi="宋体" w:eastAsia="宋体" w:cs="Times New Roman"/>
          <w:szCs w:val="21"/>
        </w:rPr>
        <w:t>6.3 无形资产的后续计量</w:t>
      </w:r>
      <w:r>
        <w:rPr>
          <w:rFonts w:ascii="宋体" w:hAnsi="宋体" w:eastAsia="宋体" w:cs="Times New Roman"/>
          <w:szCs w:val="21"/>
        </w:rPr>
        <w:br w:type="textWrapping"/>
      </w:r>
      <w:r>
        <w:rPr>
          <w:rFonts w:hint="eastAsia" w:ascii="宋体" w:hAnsi="宋体" w:eastAsia="宋体" w:cs="Times New Roman"/>
          <w:szCs w:val="21"/>
        </w:rPr>
        <w:t>6.4 无形资产的处置</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7.</w:t>
      </w:r>
      <w:r>
        <w:rPr>
          <w:rFonts w:hint="eastAsia" w:ascii="宋体" w:hAnsi="宋体" w:eastAsia="宋体" w:cs="Times New Roman"/>
          <w:b/>
          <w:szCs w:val="21"/>
        </w:rPr>
        <w:t>负债</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.1 短期借款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.2 应付票据与应付账款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.3 应付职工薪酬</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.4 应交税费</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.5 其他应付与预收款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.6 长期借款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.7 长期债券</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8.</w:t>
      </w:r>
      <w:r>
        <w:rPr>
          <w:rFonts w:hint="eastAsia" w:ascii="宋体" w:hAnsi="宋体" w:eastAsia="宋体" w:cs="Times New Roman"/>
          <w:b/>
          <w:szCs w:val="21"/>
        </w:rPr>
        <w:t>所有者权益</w:t>
      </w:r>
      <w:r>
        <w:rPr>
          <w:rFonts w:ascii="宋体" w:hAnsi="宋体" w:eastAsia="宋体" w:cs="Times New Roman"/>
          <w:szCs w:val="21"/>
        </w:rPr>
        <w:br w:type="textWrapping"/>
      </w:r>
      <w:r>
        <w:rPr>
          <w:rFonts w:hint="eastAsia" w:ascii="宋体" w:hAnsi="宋体" w:eastAsia="宋体" w:cs="Times New Roman"/>
          <w:szCs w:val="21"/>
          <w:lang w:val="en-US" w:eastAsia="zh-CN"/>
        </w:rPr>
        <w:t>8</w:t>
      </w:r>
      <w:r>
        <w:rPr>
          <w:rFonts w:hint="eastAsia" w:ascii="宋体" w:hAnsi="宋体" w:eastAsia="宋体" w:cs="Times New Roman"/>
          <w:szCs w:val="21"/>
        </w:rPr>
        <w:t>.1 实收资本</w:t>
      </w:r>
      <w:r>
        <w:rPr>
          <w:rFonts w:ascii="宋体" w:hAnsi="宋体" w:eastAsia="宋体" w:cs="Times New Roman"/>
          <w:szCs w:val="21"/>
        </w:rPr>
        <w:br w:type="textWrapping"/>
      </w:r>
      <w:r>
        <w:rPr>
          <w:rFonts w:hint="eastAsia" w:ascii="宋体" w:hAnsi="宋体" w:eastAsia="宋体" w:cs="Times New Roman"/>
          <w:szCs w:val="21"/>
          <w:lang w:val="en-US" w:eastAsia="zh-CN"/>
        </w:rPr>
        <w:t>8</w:t>
      </w:r>
      <w:r>
        <w:rPr>
          <w:rFonts w:hint="eastAsia" w:ascii="宋体" w:hAnsi="宋体" w:eastAsia="宋体" w:cs="Times New Roman"/>
          <w:szCs w:val="21"/>
        </w:rPr>
        <w:t>.2 资本公积</w:t>
      </w:r>
      <w:r>
        <w:rPr>
          <w:rFonts w:ascii="宋体" w:hAnsi="宋体" w:eastAsia="宋体" w:cs="Times New Roman"/>
          <w:szCs w:val="21"/>
        </w:rPr>
        <w:br w:type="textWrapping"/>
      </w:r>
      <w:r>
        <w:rPr>
          <w:rFonts w:hint="eastAsia" w:ascii="宋体" w:hAnsi="宋体" w:eastAsia="宋体" w:cs="Times New Roman"/>
          <w:szCs w:val="21"/>
          <w:lang w:val="en-US" w:eastAsia="zh-CN"/>
        </w:rPr>
        <w:t>8</w:t>
      </w:r>
      <w:r>
        <w:rPr>
          <w:rFonts w:hint="eastAsia" w:ascii="宋体" w:hAnsi="宋体" w:eastAsia="宋体" w:cs="Times New Roman"/>
          <w:szCs w:val="21"/>
        </w:rPr>
        <w:t>.3 留存收益</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hint="eastAsia" w:ascii="宋体" w:hAnsi="宋体" w:eastAsia="宋体" w:cs="Times New Roman"/>
          <w:b/>
          <w:szCs w:val="21"/>
          <w:lang w:eastAsia="zh-CN"/>
        </w:rPr>
      </w:pPr>
      <w:r>
        <w:rPr>
          <w:rFonts w:hint="eastAsia" w:ascii="宋体" w:hAnsi="宋体" w:eastAsia="宋体" w:cs="Times New Roman"/>
          <w:b/>
          <w:szCs w:val="21"/>
          <w:lang w:val="en-US" w:eastAsia="zh-CN"/>
        </w:rPr>
        <w:t>9.</w:t>
      </w:r>
      <w:r>
        <w:rPr>
          <w:rFonts w:hint="eastAsia" w:ascii="宋体" w:hAnsi="宋体" w:eastAsia="宋体" w:cs="Times New Roman"/>
          <w:b/>
          <w:szCs w:val="21"/>
        </w:rPr>
        <w:t>收入</w:t>
      </w:r>
      <w:r>
        <w:rPr>
          <w:rFonts w:hint="eastAsia" w:ascii="宋体" w:hAnsi="宋体" w:eastAsia="宋体" w:cs="Times New Roman"/>
          <w:b/>
          <w:szCs w:val="21"/>
          <w:lang w:eastAsia="zh-CN"/>
        </w:rPr>
        <w:t>、费用和利润</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9</w:t>
      </w:r>
      <w:r>
        <w:rPr>
          <w:rFonts w:hint="eastAsia" w:ascii="宋体" w:hAnsi="宋体" w:eastAsia="宋体" w:cs="Times New Roman"/>
          <w:szCs w:val="21"/>
        </w:rPr>
        <w:t xml:space="preserve">.1 </w:t>
      </w:r>
      <w:r>
        <w:rPr>
          <w:rFonts w:hint="eastAsia" w:ascii="宋体" w:hAnsi="宋体" w:eastAsia="宋体" w:cs="Times New Roman"/>
          <w:szCs w:val="21"/>
          <w:lang w:eastAsia="zh-CN"/>
        </w:rPr>
        <w:t>收</w:t>
      </w:r>
      <w:r>
        <w:rPr>
          <w:rFonts w:hint="eastAsia" w:ascii="宋体" w:hAnsi="宋体" w:eastAsia="宋体" w:cs="Times New Roman"/>
          <w:szCs w:val="21"/>
        </w:rPr>
        <w:t>入</w:t>
      </w:r>
      <w:r>
        <w:rPr>
          <w:rFonts w:hint="eastAsia" w:ascii="宋体" w:hAnsi="宋体" w:eastAsia="宋体" w:cs="Times New Roman"/>
          <w:szCs w:val="21"/>
          <w:lang w:eastAsia="zh-CN"/>
        </w:rPr>
        <w:t>的核算</w:t>
      </w:r>
      <w:r>
        <w:rPr>
          <w:rFonts w:ascii="宋体" w:hAnsi="宋体" w:eastAsia="宋体" w:cs="Times New Roman"/>
          <w:szCs w:val="21"/>
        </w:rPr>
        <w:br w:type="textWrapping"/>
      </w:r>
      <w:r>
        <w:rPr>
          <w:rFonts w:hint="eastAsia" w:ascii="宋体" w:hAnsi="宋体" w:eastAsia="宋体" w:cs="Times New Roman"/>
          <w:szCs w:val="21"/>
          <w:lang w:val="en-US" w:eastAsia="zh-CN"/>
        </w:rPr>
        <w:t>9</w:t>
      </w:r>
      <w:r>
        <w:rPr>
          <w:rFonts w:hint="eastAsia" w:ascii="宋体" w:hAnsi="宋体" w:eastAsia="宋体" w:cs="Times New Roman"/>
          <w:szCs w:val="21"/>
        </w:rPr>
        <w:t xml:space="preserve">.2 </w:t>
      </w:r>
      <w:r>
        <w:rPr>
          <w:rFonts w:hint="eastAsia" w:ascii="宋体" w:hAnsi="宋体" w:eastAsia="宋体" w:cs="Times New Roman"/>
          <w:szCs w:val="21"/>
          <w:lang w:eastAsia="zh-CN"/>
        </w:rPr>
        <w:t>费用的核算</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9.3 营业利润、利润总额和净利润的计算</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9.4 利润的核算</w:t>
      </w:r>
    </w:p>
    <w:p>
      <w:pPr>
        <w:keepNext w:val="0"/>
        <w:keepLines w:val="0"/>
        <w:pageBreakBefore w:val="0"/>
        <w:kinsoku/>
        <w:wordWrap/>
        <w:overflowPunct/>
        <w:topLinePunct w:val="0"/>
        <w:autoSpaceDE/>
        <w:autoSpaceDN/>
        <w:bidi w:val="0"/>
        <w:adjustRightInd/>
        <w:snapToGrid/>
        <w:spacing w:line="240" w:lineRule="atLeast"/>
        <w:ind w:left="422" w:hanging="422" w:hangingChars="200"/>
        <w:textAlignment w:val="auto"/>
        <w:rPr>
          <w:rFonts w:hint="eastAsia" w:ascii="宋体" w:hAnsi="宋体" w:eastAsia="宋体" w:cs="Times New Roman"/>
          <w:b/>
          <w:szCs w:val="21"/>
        </w:rPr>
      </w:pPr>
      <w:r>
        <w:rPr>
          <w:rFonts w:hint="eastAsia" w:ascii="宋体" w:hAnsi="宋体" w:eastAsia="宋体" w:cs="Times New Roman"/>
          <w:b/>
          <w:szCs w:val="21"/>
          <w:lang w:val="en-US" w:eastAsia="zh-CN"/>
        </w:rPr>
        <w:t>10.</w:t>
      </w:r>
      <w:r>
        <w:rPr>
          <w:rFonts w:hint="eastAsia" w:ascii="宋体" w:hAnsi="宋体" w:eastAsia="宋体" w:cs="Times New Roman"/>
          <w:b/>
          <w:szCs w:val="21"/>
        </w:rPr>
        <w:t>财务报告</w:t>
      </w:r>
    </w:p>
    <w:p>
      <w:pPr>
        <w:keepNext w:val="0"/>
        <w:keepLines w:val="0"/>
        <w:pageBreakBefore w:val="0"/>
        <w:widowControl w:val="0"/>
        <w:kinsoku/>
        <w:wordWrap/>
        <w:overflowPunct/>
        <w:topLinePunct w:val="0"/>
        <w:autoSpaceDE/>
        <w:autoSpaceDN/>
        <w:bidi w:val="0"/>
        <w:adjustRightInd/>
        <w:snapToGrid/>
        <w:spacing w:line="240" w:lineRule="atLeast"/>
        <w:ind w:left="420" w:leftChars="200" w:firstLine="0" w:firstLineChars="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.1 资产负债表</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.2 利润表</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.3 现金流量表</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.4 所有者权益变动表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eastAsia="zh-CN"/>
        </w:rPr>
        <w:t>第</w:t>
      </w:r>
      <w:r>
        <w:rPr>
          <w:rFonts w:hint="eastAsia" w:ascii="宋体" w:hAnsi="宋体" w:eastAsia="宋体" w:cs="Times New Roman"/>
          <w:b/>
          <w:bCs/>
          <w:sz w:val="24"/>
          <w:szCs w:val="24"/>
          <w:lang w:val="en-US" w:eastAsia="zh-CN"/>
        </w:rPr>
        <w:t>2部分：财务管理</w:t>
      </w:r>
    </w:p>
    <w:p>
      <w:pPr>
        <w:keepNext w:val="0"/>
        <w:keepLines w:val="0"/>
        <w:pageBreakBefore w:val="0"/>
        <w:kinsoku/>
        <w:wordWrap/>
        <w:overflowPunct/>
        <w:topLinePunct w:val="0"/>
        <w:autoSpaceDE/>
        <w:autoSpaceDN/>
        <w:bidi w:val="0"/>
        <w:adjustRightInd/>
        <w:snapToGrid/>
        <w:spacing w:line="240" w:lineRule="atLeast"/>
        <w:ind w:firstLine="211" w:firstLineChars="100"/>
        <w:textAlignment w:val="auto"/>
        <w:rPr>
          <w:rFonts w:hint="eastAsia" w:ascii="宋体" w:hAnsi="宋体" w:eastAsia="宋体" w:cs="宋体"/>
          <w:b/>
          <w:bCs/>
          <w:sz w:val="21"/>
          <w:szCs w:val="21"/>
        </w:rPr>
      </w:pPr>
      <w:r>
        <w:rPr>
          <w:rFonts w:hint="eastAsia" w:ascii="宋体" w:hAnsi="宋体" w:eastAsia="宋体" w:cs="Times New Roman"/>
          <w:b/>
          <w:bCs/>
          <w:sz w:val="21"/>
          <w:szCs w:val="21"/>
          <w:lang w:val="en-US" w:eastAsia="zh-CN"/>
        </w:rPr>
        <w:t>1.</w:t>
      </w:r>
      <w:r>
        <w:rPr>
          <w:rFonts w:hint="eastAsia" w:ascii="宋体" w:hAnsi="宋体" w:eastAsia="宋体" w:cs="宋体"/>
          <w:b/>
          <w:bCs/>
          <w:sz w:val="21"/>
          <w:szCs w:val="21"/>
        </w:rPr>
        <w:t>财务估值的基础</w:t>
      </w:r>
    </w:p>
    <w:p>
      <w:pPr>
        <w:keepNext w:val="0"/>
        <w:keepLines w:val="0"/>
        <w:pageBreakBefore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货币时间价值</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1.2</w:t>
      </w:r>
      <w:r>
        <w:rPr>
          <w:rFonts w:hint="eastAsia" w:ascii="宋体" w:hAnsi="宋体" w:eastAsia="宋体" w:cs="宋体"/>
          <w:sz w:val="21"/>
          <w:szCs w:val="21"/>
        </w:rPr>
        <w:t>风险和收益</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1.3</w:t>
      </w:r>
      <w:r>
        <w:rPr>
          <w:rFonts w:hint="eastAsia" w:ascii="宋体" w:hAnsi="宋体" w:eastAsia="宋体" w:cs="宋体"/>
          <w:sz w:val="21"/>
          <w:szCs w:val="21"/>
        </w:rPr>
        <w:t>证券估值</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财务分析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2.1</w:t>
      </w:r>
      <w:r>
        <w:rPr>
          <w:rFonts w:hint="eastAsia" w:ascii="宋体" w:hAnsi="宋体" w:eastAsia="宋体" w:cs="宋体"/>
          <w:sz w:val="21"/>
          <w:szCs w:val="21"/>
        </w:rPr>
        <w:t>偿债能力分析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营运能力分析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2.3</w:t>
      </w:r>
      <w:r>
        <w:rPr>
          <w:rFonts w:hint="eastAsia" w:ascii="宋体" w:hAnsi="宋体" w:eastAsia="宋体" w:cs="宋体"/>
          <w:sz w:val="21"/>
          <w:szCs w:val="21"/>
        </w:rPr>
        <w:t xml:space="preserve"> 获利能力分析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2.4</w:t>
      </w:r>
      <w:r>
        <w:rPr>
          <w:rFonts w:hint="eastAsia" w:ascii="宋体" w:hAnsi="宋体" w:eastAsia="宋体" w:cs="宋体"/>
          <w:sz w:val="21"/>
          <w:szCs w:val="21"/>
        </w:rPr>
        <w:t xml:space="preserve"> 发展能力分析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default" w:ascii="宋体" w:hAnsi="宋体" w:eastAsia="宋体" w:cs="宋体"/>
          <w:sz w:val="21"/>
          <w:szCs w:val="21"/>
          <w:lang w:val="en-US"/>
        </w:rPr>
      </w:pPr>
      <w:r>
        <w:rPr>
          <w:rFonts w:hint="eastAsia" w:ascii="宋体" w:hAnsi="宋体" w:eastAsia="宋体" w:cs="宋体"/>
          <w:sz w:val="21"/>
          <w:szCs w:val="21"/>
        </w:rPr>
        <w:t>　　</w:t>
      </w:r>
      <w:r>
        <w:rPr>
          <w:rFonts w:hint="eastAsia" w:ascii="宋体" w:hAnsi="宋体" w:eastAsia="宋体" w:cs="宋体"/>
          <w:sz w:val="21"/>
          <w:szCs w:val="21"/>
          <w:lang w:val="en-US" w:eastAsia="zh-CN"/>
        </w:rPr>
        <w:t>2.5 财务综合分析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长期筹资决策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3.1</w:t>
      </w:r>
      <w:r>
        <w:rPr>
          <w:rFonts w:hint="eastAsia" w:ascii="宋体" w:hAnsi="宋体" w:eastAsia="宋体" w:cs="宋体"/>
          <w:sz w:val="21"/>
          <w:szCs w:val="21"/>
        </w:rPr>
        <w:t xml:space="preserve"> 普通股筹资</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 xml:space="preserve"> 长期负债筹资</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资本成本的测算</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 杠杆利益与风险的衡量</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 资本结构决策分析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投资决策</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 xml:space="preserve"> 投资的现金流量分析</w:t>
      </w:r>
    </w:p>
    <w:p>
      <w:pPr>
        <w:keepNext w:val="0"/>
        <w:keepLines w:val="0"/>
        <w:pageBreakBefore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 折现现金流量方法</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 非折现现金流量方法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 xml:space="preserve"> 营运资金管理</w:t>
      </w:r>
    </w:p>
    <w:p>
      <w:pPr>
        <w:keepNext w:val="0"/>
        <w:keepLines w:val="0"/>
        <w:pageBreakBefore w:val="0"/>
        <w:kinsoku/>
        <w:wordWrap/>
        <w:overflowPunct/>
        <w:topLinePunct w:val="0"/>
        <w:autoSpaceDE/>
        <w:autoSpaceDN/>
        <w:bidi w:val="0"/>
        <w:adjustRightInd/>
        <w:snapToGrid/>
        <w:spacing w:line="24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5.1 营运资金持有政策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5.2</w:t>
      </w:r>
      <w:r>
        <w:rPr>
          <w:rFonts w:hint="eastAsia" w:ascii="宋体" w:hAnsi="宋体" w:eastAsia="宋体" w:cs="宋体"/>
          <w:sz w:val="21"/>
          <w:szCs w:val="21"/>
        </w:rPr>
        <w:t xml:space="preserve"> 短期资产管理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5.3</w:t>
      </w:r>
      <w:r>
        <w:rPr>
          <w:rFonts w:hint="eastAsia" w:ascii="宋体" w:hAnsi="宋体" w:eastAsia="宋体" w:cs="宋体"/>
          <w:sz w:val="21"/>
          <w:szCs w:val="21"/>
        </w:rPr>
        <w:t xml:space="preserve"> 短期筹资管理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 xml:space="preserve"> </w:t>
      </w:r>
      <w:r>
        <w:rPr>
          <w:rFonts w:hint="eastAsia" w:ascii="宋体" w:hAnsi="宋体" w:eastAsia="宋体" w:cs="宋体"/>
          <w:b/>
          <w:bCs/>
          <w:sz w:val="21"/>
          <w:szCs w:val="21"/>
          <w:lang w:eastAsia="zh-CN"/>
        </w:rPr>
        <w:t>收益分配管理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6.1</w:t>
      </w:r>
      <w:r>
        <w:rPr>
          <w:rFonts w:hint="eastAsia" w:ascii="宋体" w:hAnsi="宋体" w:eastAsia="宋体" w:cs="宋体"/>
          <w:sz w:val="21"/>
          <w:szCs w:val="21"/>
        </w:rPr>
        <w:t xml:space="preserve"> 利润分配概述</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6.2</w:t>
      </w:r>
      <w:r>
        <w:rPr>
          <w:rFonts w:hint="eastAsia" w:ascii="宋体" w:hAnsi="宋体" w:eastAsia="宋体" w:cs="宋体"/>
          <w:sz w:val="21"/>
          <w:szCs w:val="21"/>
        </w:rPr>
        <w:t xml:space="preserve"> 股利支付的程序和方式</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6.3 </w:t>
      </w:r>
      <w:r>
        <w:rPr>
          <w:rFonts w:hint="eastAsia" w:ascii="宋体" w:hAnsi="宋体" w:eastAsia="宋体" w:cs="宋体"/>
          <w:sz w:val="21"/>
          <w:szCs w:val="21"/>
        </w:rPr>
        <w:t>股利理论与股利分配政策</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24"/>
          <w:szCs w:val="24"/>
        </w:rPr>
      </w:pPr>
      <w:r>
        <w:rPr>
          <w:rFonts w:hint="eastAsia" w:ascii="宋体" w:hAnsi="宋体" w:eastAsia="宋体" w:cs="Times New Roman"/>
          <w:b/>
          <w:bCs/>
          <w:sz w:val="24"/>
          <w:szCs w:val="24"/>
          <w:lang w:eastAsia="zh-CN"/>
        </w:rPr>
        <w:t>第</w:t>
      </w:r>
      <w:r>
        <w:rPr>
          <w:rFonts w:hint="eastAsia" w:ascii="宋体" w:hAnsi="宋体" w:eastAsia="宋体" w:cs="Times New Roman"/>
          <w:b/>
          <w:bCs/>
          <w:sz w:val="24"/>
          <w:szCs w:val="24"/>
          <w:lang w:val="en-US" w:eastAsia="zh-CN"/>
        </w:rPr>
        <w:t>3部分：</w:t>
      </w:r>
      <w:r>
        <w:rPr>
          <w:rFonts w:hint="eastAsia" w:ascii="宋体" w:hAnsi="宋体" w:eastAsia="宋体" w:cs="宋体"/>
          <w:b/>
          <w:bCs/>
          <w:sz w:val="24"/>
          <w:szCs w:val="24"/>
        </w:rPr>
        <w:t>成本与管理会计</w:t>
      </w:r>
    </w:p>
    <w:p>
      <w:pPr>
        <w:keepNext w:val="0"/>
        <w:keepLines w:val="0"/>
        <w:pageBreakBefore w:val="0"/>
        <w:kinsoku/>
        <w:wordWrap/>
        <w:overflowPunct/>
        <w:topLinePunct w:val="0"/>
        <w:autoSpaceDE/>
        <w:autoSpaceDN/>
        <w:bidi w:val="0"/>
        <w:adjustRightInd/>
        <w:snapToGrid/>
        <w:spacing w:line="240" w:lineRule="atLeast"/>
        <w:ind w:firstLine="211" w:firstLineChars="1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 xml:space="preserve"> 成本的概念和分类</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产品成本核算方法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1.2</w:t>
      </w:r>
      <w:r>
        <w:rPr>
          <w:rFonts w:hint="eastAsia" w:ascii="宋体" w:hAnsi="宋体" w:eastAsia="宋体" w:cs="宋体"/>
          <w:sz w:val="21"/>
          <w:szCs w:val="21"/>
        </w:rPr>
        <w:t>产品成本计算概述</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 成本的归集与分配</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品种法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分批法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1.6</w:t>
      </w:r>
      <w:r>
        <w:rPr>
          <w:rFonts w:hint="eastAsia" w:ascii="宋体" w:hAnsi="宋体" w:eastAsia="宋体" w:cs="宋体"/>
          <w:sz w:val="21"/>
          <w:szCs w:val="21"/>
        </w:rPr>
        <w:t xml:space="preserve"> 分步法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1.7</w:t>
      </w:r>
      <w:r>
        <w:rPr>
          <w:rFonts w:hint="eastAsia" w:ascii="宋体" w:hAnsi="宋体" w:eastAsia="宋体" w:cs="宋体"/>
          <w:sz w:val="21"/>
          <w:szCs w:val="21"/>
        </w:rPr>
        <w:t xml:space="preserve"> 作业成本法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成本分析与成本管理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2.1</w:t>
      </w:r>
      <w:r>
        <w:rPr>
          <w:rFonts w:hint="eastAsia" w:ascii="宋体" w:hAnsi="宋体" w:eastAsia="宋体" w:cs="宋体"/>
          <w:sz w:val="21"/>
          <w:szCs w:val="21"/>
        </w:rPr>
        <w:t xml:space="preserve"> 成本性态分析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2.2</w:t>
      </w:r>
      <w:r>
        <w:rPr>
          <w:rFonts w:hint="eastAsia" w:ascii="宋体" w:hAnsi="宋体" w:eastAsia="宋体" w:cs="宋体"/>
          <w:sz w:val="21"/>
          <w:szCs w:val="21"/>
        </w:rPr>
        <w:t>变动成本法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2.3</w:t>
      </w:r>
      <w:r>
        <w:rPr>
          <w:rFonts w:hint="eastAsia" w:ascii="宋体" w:hAnsi="宋体" w:eastAsia="宋体" w:cs="宋体"/>
          <w:sz w:val="21"/>
          <w:szCs w:val="21"/>
        </w:rPr>
        <w:t>成本管理方法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 xml:space="preserve"> 经营决策分析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3.1</w:t>
      </w:r>
      <w:r>
        <w:rPr>
          <w:rFonts w:hint="eastAsia" w:ascii="宋体" w:hAnsi="宋体" w:eastAsia="宋体" w:cs="宋体"/>
          <w:sz w:val="21"/>
          <w:szCs w:val="21"/>
        </w:rPr>
        <w:t xml:space="preserve"> 本量利分析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定价决策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3.3</w:t>
      </w:r>
      <w:r>
        <w:rPr>
          <w:rFonts w:hint="eastAsia" w:ascii="宋体" w:hAnsi="宋体" w:eastAsia="宋体" w:cs="宋体"/>
          <w:sz w:val="21"/>
          <w:szCs w:val="21"/>
        </w:rPr>
        <w:t xml:space="preserve"> </w:t>
      </w:r>
      <w:r>
        <w:rPr>
          <w:rFonts w:hint="eastAsia" w:ascii="宋体" w:hAnsi="宋体" w:eastAsia="宋体" w:cs="宋体"/>
          <w:sz w:val="21"/>
          <w:szCs w:val="21"/>
          <w:lang w:eastAsia="zh-CN"/>
        </w:rPr>
        <w:t>生产决策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 xml:space="preserve"> 全面预算管理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4.1</w:t>
      </w:r>
      <w:r>
        <w:rPr>
          <w:rFonts w:hint="eastAsia" w:ascii="宋体" w:hAnsi="宋体" w:eastAsia="宋体" w:cs="宋体"/>
          <w:sz w:val="21"/>
          <w:szCs w:val="21"/>
        </w:rPr>
        <w:t>全面预算的类型与编制方法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4.2</w:t>
      </w:r>
      <w:r>
        <w:rPr>
          <w:rFonts w:hint="eastAsia" w:ascii="宋体" w:hAnsi="宋体" w:eastAsia="宋体" w:cs="宋体"/>
          <w:sz w:val="21"/>
          <w:szCs w:val="21"/>
        </w:rPr>
        <w:t>营业预算的编制</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rPr>
      </w:pPr>
      <w:r>
        <w:rPr>
          <w:rFonts w:hint="eastAsia" w:ascii="黑体" w:hAnsi="黑体" w:eastAsia="黑体"/>
          <w:sz w:val="32"/>
          <w:szCs w:val="32"/>
        </w:rPr>
        <w:t>　</w:t>
      </w:r>
      <w:r>
        <w:rPr>
          <w:rFonts w:hint="eastAsia" w:ascii="宋体" w:hAnsi="宋体" w:eastAsia="宋体" w:cs="宋体"/>
          <w:sz w:val="21"/>
          <w:szCs w:val="21"/>
          <w:lang w:val="en-US" w:eastAsia="zh-CN"/>
        </w:rPr>
        <w:t xml:space="preserve"> 4.3</w:t>
      </w:r>
      <w:r>
        <w:rPr>
          <w:rFonts w:hint="eastAsia" w:ascii="宋体" w:hAnsi="宋体" w:eastAsia="宋体" w:cs="宋体"/>
          <w:sz w:val="21"/>
          <w:szCs w:val="21"/>
        </w:rPr>
        <w:t>财务预算的编制</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24"/>
          <w:szCs w:val="24"/>
        </w:rPr>
      </w:pPr>
      <w:r>
        <w:rPr>
          <w:rFonts w:hint="eastAsia" w:ascii="宋体" w:hAnsi="宋体" w:eastAsia="宋体" w:cs="Times New Roman"/>
          <w:b/>
          <w:bCs/>
          <w:sz w:val="24"/>
          <w:szCs w:val="24"/>
          <w:lang w:eastAsia="zh-CN"/>
        </w:rPr>
        <w:t>第</w:t>
      </w:r>
      <w:r>
        <w:rPr>
          <w:rFonts w:hint="eastAsia" w:ascii="宋体" w:hAnsi="宋体" w:eastAsia="宋体" w:cs="Times New Roman"/>
          <w:b/>
          <w:bCs/>
          <w:sz w:val="24"/>
          <w:szCs w:val="24"/>
          <w:lang w:val="en-US" w:eastAsia="zh-CN"/>
        </w:rPr>
        <w:t>4部分：审</w:t>
      </w:r>
      <w:r>
        <w:rPr>
          <w:rFonts w:hint="eastAsia" w:ascii="宋体" w:hAnsi="宋体" w:eastAsia="宋体" w:cs="宋体"/>
          <w:b/>
          <w:bCs/>
          <w:sz w:val="24"/>
          <w:szCs w:val="24"/>
        </w:rPr>
        <w:t>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4"/>
          <w:szCs w:val="24"/>
        </w:rPr>
        <w:t>　</w:t>
      </w: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财务报表审计的核心概念</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1.1</w:t>
      </w:r>
      <w:r>
        <w:rPr>
          <w:rFonts w:hint="eastAsia" w:ascii="宋体" w:hAnsi="宋体" w:eastAsia="宋体" w:cs="宋体"/>
          <w:sz w:val="21"/>
          <w:szCs w:val="21"/>
        </w:rPr>
        <w:t>审计目标</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1.2</w:t>
      </w:r>
      <w:r>
        <w:rPr>
          <w:rFonts w:hint="eastAsia" w:ascii="宋体" w:hAnsi="宋体" w:eastAsia="宋体" w:cs="宋体"/>
          <w:sz w:val="21"/>
          <w:szCs w:val="21"/>
        </w:rPr>
        <w:t xml:space="preserve"> 重要性</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黑体" w:hAnsi="黑体" w:eastAsia="黑体"/>
          <w:sz w:val="21"/>
          <w:szCs w:val="21"/>
        </w:rPr>
        <w:t>　</w:t>
      </w:r>
      <w:r>
        <w:rPr>
          <w:rFonts w:hint="eastAsia" w:ascii="宋体" w:hAnsi="宋体" w:eastAsia="宋体" w:cs="宋体"/>
          <w:sz w:val="21"/>
          <w:szCs w:val="21"/>
          <w:lang w:val="en-US" w:eastAsia="zh-CN"/>
        </w:rPr>
        <w:t xml:space="preserve">   1.3</w:t>
      </w:r>
      <w:r>
        <w:rPr>
          <w:rFonts w:hint="eastAsia" w:ascii="宋体" w:hAnsi="宋体" w:eastAsia="宋体" w:cs="宋体"/>
          <w:sz w:val="21"/>
          <w:szCs w:val="21"/>
        </w:rPr>
        <w:t>审计风险</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1.4</w:t>
      </w:r>
      <w:r>
        <w:rPr>
          <w:rFonts w:hint="eastAsia" w:ascii="宋体" w:hAnsi="宋体" w:eastAsia="宋体" w:cs="宋体"/>
          <w:sz w:val="21"/>
          <w:szCs w:val="21"/>
        </w:rPr>
        <w:t xml:space="preserve"> 审计证据</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1.5</w:t>
      </w:r>
      <w:r>
        <w:rPr>
          <w:rFonts w:hint="eastAsia" w:ascii="宋体" w:hAnsi="宋体" w:eastAsia="宋体" w:cs="宋体"/>
          <w:sz w:val="21"/>
          <w:szCs w:val="21"/>
        </w:rPr>
        <w:t xml:space="preserve"> 审计程序</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财务报表审计的思路和步骤</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2.1</w:t>
      </w:r>
      <w:r>
        <w:rPr>
          <w:rFonts w:hint="eastAsia" w:ascii="宋体" w:hAnsi="宋体" w:eastAsia="宋体" w:cs="宋体"/>
          <w:sz w:val="21"/>
          <w:szCs w:val="21"/>
        </w:rPr>
        <w:t xml:space="preserve"> 风险导向审计的基本思路</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2.2</w:t>
      </w:r>
      <w:r>
        <w:rPr>
          <w:rFonts w:hint="eastAsia" w:ascii="宋体" w:hAnsi="宋体" w:eastAsia="宋体" w:cs="宋体"/>
          <w:sz w:val="21"/>
          <w:szCs w:val="21"/>
        </w:rPr>
        <w:t>风险评估</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2.3</w:t>
      </w:r>
      <w:r>
        <w:rPr>
          <w:rFonts w:hint="eastAsia" w:ascii="宋体" w:hAnsi="宋体" w:eastAsia="宋体" w:cs="宋体"/>
          <w:sz w:val="21"/>
          <w:szCs w:val="21"/>
        </w:rPr>
        <w:t>控制测试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2.4</w:t>
      </w:r>
      <w:r>
        <w:rPr>
          <w:rFonts w:hint="eastAsia" w:ascii="宋体" w:hAnsi="宋体" w:eastAsia="宋体" w:cs="宋体"/>
          <w:sz w:val="21"/>
          <w:szCs w:val="21"/>
        </w:rPr>
        <w:t>实质性程序</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 xml:space="preserve"> 主要业务循环的审计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3.1</w:t>
      </w:r>
      <w:r>
        <w:rPr>
          <w:rFonts w:hint="eastAsia" w:ascii="宋体" w:hAnsi="宋体" w:eastAsia="宋体" w:cs="宋体"/>
          <w:sz w:val="21"/>
          <w:szCs w:val="21"/>
        </w:rPr>
        <w:t xml:space="preserve"> 销售与收款循环的审计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3.2</w:t>
      </w:r>
      <w:r>
        <w:rPr>
          <w:rFonts w:hint="eastAsia" w:ascii="宋体" w:hAnsi="宋体" w:eastAsia="宋体" w:cs="宋体"/>
          <w:sz w:val="21"/>
          <w:szCs w:val="21"/>
        </w:rPr>
        <w:t>采购与付款循环的审计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3.3</w:t>
      </w:r>
      <w:r>
        <w:rPr>
          <w:rFonts w:hint="eastAsia" w:ascii="宋体" w:hAnsi="宋体" w:eastAsia="宋体" w:cs="宋体"/>
          <w:sz w:val="21"/>
          <w:szCs w:val="21"/>
        </w:rPr>
        <w:t xml:space="preserve"> 生产与职工薪酬循环的审计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3.4</w:t>
      </w:r>
      <w:r>
        <w:rPr>
          <w:rFonts w:hint="eastAsia" w:ascii="宋体" w:hAnsi="宋体" w:eastAsia="宋体" w:cs="宋体"/>
          <w:sz w:val="21"/>
          <w:szCs w:val="21"/>
        </w:rPr>
        <w:t>筹资与投资循环的审计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3.5</w:t>
      </w:r>
      <w:r>
        <w:rPr>
          <w:rFonts w:hint="eastAsia" w:ascii="宋体" w:hAnsi="宋体" w:eastAsia="宋体" w:cs="宋体"/>
          <w:sz w:val="21"/>
          <w:szCs w:val="21"/>
        </w:rPr>
        <w:t>货币资金与特殊项目的审计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审计报告</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4.1</w:t>
      </w:r>
      <w:r>
        <w:rPr>
          <w:rFonts w:hint="eastAsia" w:ascii="宋体" w:hAnsi="宋体" w:eastAsia="宋体" w:cs="宋体"/>
          <w:sz w:val="21"/>
          <w:szCs w:val="21"/>
        </w:rPr>
        <w:t xml:space="preserve"> 审计意见的形成和类型</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4.2</w:t>
      </w:r>
      <w:r>
        <w:rPr>
          <w:rFonts w:hint="eastAsia" w:ascii="宋体" w:hAnsi="宋体" w:eastAsia="宋体" w:cs="宋体"/>
          <w:sz w:val="21"/>
          <w:szCs w:val="21"/>
        </w:rPr>
        <w:t>标准审计报告的结构和内容</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4.3</w:t>
      </w:r>
      <w:r>
        <w:rPr>
          <w:rFonts w:hint="eastAsia" w:ascii="宋体" w:hAnsi="宋体" w:eastAsia="宋体" w:cs="宋体"/>
          <w:sz w:val="21"/>
          <w:szCs w:val="21"/>
        </w:rPr>
        <w:t xml:space="preserve"> 非标准审计报告的结构和内容</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eastAsia="zh-CN"/>
        </w:rPr>
      </w:pP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三、参考书目</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eastAsia="zh-CN"/>
        </w:rPr>
      </w:pP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刘永泽、陈立军.中级财务会计（第六版）.东北财经大学出版社.2018年8月</w:t>
      </w: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荆新、王化成、刘俊彦.财务管理学（第8版）.中国人民大学出版社.2018年5月</w:t>
      </w: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孙茂竹、于富生.成本与管理会计（第2版）.中国人民大学出版社.2018年3月</w:t>
      </w: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刘明辉、史德刚.审计（第6版）.东北财经大学出版社.2017年3月</w:t>
      </w:r>
    </w:p>
    <w:p>
      <w:pPr>
        <w:keepNext w:val="0"/>
        <w:keepLines w:val="0"/>
        <w:pageBreakBefore w:val="0"/>
        <w:numPr>
          <w:ilvl w:val="0"/>
          <w:numId w:val="0"/>
        </w:numPr>
        <w:kinsoku/>
        <w:wordWrap/>
        <w:overflowPunct/>
        <w:topLinePunct w:val="0"/>
        <w:autoSpaceDE/>
        <w:autoSpaceDN/>
        <w:bidi w:val="0"/>
        <w:adjustRightInd/>
        <w:snapToGrid/>
        <w:spacing w:line="240" w:lineRule="atLeast"/>
        <w:ind w:left="360"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四、试卷题型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名词解释、选择题、判断题、简答题、会计分录、计算题、实务应用等多种题型。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4"/>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考试方式及时间</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考试方式：闭卷</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考试时间：180分钟</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35FE7"/>
    <w:multiLevelType w:val="singleLevel"/>
    <w:tmpl w:val="A2635FE7"/>
    <w:lvl w:ilvl="0" w:tentative="0">
      <w:start w:val="1"/>
      <w:numFmt w:val="decimal"/>
      <w:lvlText w:val="%1."/>
      <w:lvlJc w:val="left"/>
      <w:pPr>
        <w:tabs>
          <w:tab w:val="left" w:pos="312"/>
        </w:tabs>
        <w:ind w:left="360" w:leftChars="0" w:firstLine="0" w:firstLineChars="0"/>
      </w:pPr>
    </w:lvl>
  </w:abstractNum>
  <w:abstractNum w:abstractNumId="1">
    <w:nsid w:val="C3472CC3"/>
    <w:multiLevelType w:val="singleLevel"/>
    <w:tmpl w:val="C3472CC3"/>
    <w:lvl w:ilvl="0" w:tentative="0">
      <w:start w:val="2"/>
      <w:numFmt w:val="chineseCounting"/>
      <w:suff w:val="nothing"/>
      <w:lvlText w:val="%1、"/>
      <w:lvlJc w:val="left"/>
      <w:rPr>
        <w:rFonts w:hint="eastAsia"/>
      </w:rPr>
    </w:lvl>
  </w:abstractNum>
  <w:abstractNum w:abstractNumId="2">
    <w:nsid w:val="2CF96AE0"/>
    <w:multiLevelType w:val="singleLevel"/>
    <w:tmpl w:val="2CF96AE0"/>
    <w:lvl w:ilvl="0" w:tentative="0">
      <w:start w:val="5"/>
      <w:numFmt w:val="chineseCounting"/>
      <w:suff w:val="nothing"/>
      <w:lvlText w:val="%1、"/>
      <w:lvlJc w:val="left"/>
      <w:rPr>
        <w:rFonts w:hint="eastAsia"/>
      </w:rPr>
    </w:lvl>
  </w:abstractNum>
  <w:abstractNum w:abstractNumId="3">
    <w:nsid w:val="4BE25350"/>
    <w:multiLevelType w:val="multilevel"/>
    <w:tmpl w:val="4BE253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C9"/>
    <w:rsid w:val="000A1534"/>
    <w:rsid w:val="003A4A9B"/>
    <w:rsid w:val="0078701F"/>
    <w:rsid w:val="00CF7F5B"/>
    <w:rsid w:val="00F71CC9"/>
    <w:rsid w:val="052D77DF"/>
    <w:rsid w:val="06C25E26"/>
    <w:rsid w:val="114366D2"/>
    <w:rsid w:val="12452427"/>
    <w:rsid w:val="126657EB"/>
    <w:rsid w:val="14A41A85"/>
    <w:rsid w:val="17304884"/>
    <w:rsid w:val="18863CA2"/>
    <w:rsid w:val="252814DB"/>
    <w:rsid w:val="30E24DCD"/>
    <w:rsid w:val="3CFD5BBB"/>
    <w:rsid w:val="467913D0"/>
    <w:rsid w:val="479529E3"/>
    <w:rsid w:val="4E56152B"/>
    <w:rsid w:val="54280608"/>
    <w:rsid w:val="55B87676"/>
    <w:rsid w:val="623932BF"/>
    <w:rsid w:val="652017BB"/>
    <w:rsid w:val="75C52732"/>
    <w:rsid w:val="78F1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p"/>
    <w:basedOn w:val="1"/>
    <w:qFormat/>
    <w:uiPriority w:val="0"/>
    <w:pPr>
      <w:widowControl/>
      <w:spacing w:before="100" w:beforeAutospacing="1" w:after="100" w:afterAutospacing="1" w:line="500" w:lineRule="exact"/>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Words>
  <Characters>1959</Characters>
  <Lines>16</Lines>
  <Paragraphs>4</Paragraphs>
  <TotalTime>1</TotalTime>
  <ScaleCrop>false</ScaleCrop>
  <LinksUpToDate>false</LinksUpToDate>
  <CharactersWithSpaces>2298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2019-05-10T02:59:00Z</dcterms:created>
  <dc:creator>SONY</dc:creator>
  <cp:lastModifiedBy>86312</cp:lastModifiedBy>
  <dcterms:modified xsi:type="dcterms:W3CDTF">2020-10-07T10:40:59Z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