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E" w:rsidRDefault="009248CE" w:rsidP="009248CE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 w:rsidRPr="00C023C6">
        <w:rPr>
          <w:rFonts w:ascii="Times New Roman" w:hAnsi="Times New Roman"/>
          <w:b/>
          <w:sz w:val="28"/>
          <w:szCs w:val="28"/>
        </w:rPr>
        <w:t>《材料科学与工程基础》考试大纲</w:t>
      </w:r>
    </w:p>
    <w:p w:rsidR="009248CE" w:rsidRDefault="009248CE" w:rsidP="009248CE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（总分</w:t>
      </w:r>
      <w:r>
        <w:rPr>
          <w:rFonts w:ascii="Times New Roman" w:hAnsi="Times New Roman" w:hint="eastAsia"/>
          <w:b/>
          <w:sz w:val="28"/>
          <w:szCs w:val="28"/>
        </w:rPr>
        <w:t>150</w:t>
      </w:r>
      <w:r>
        <w:rPr>
          <w:rFonts w:ascii="Times New Roman" w:hAnsi="Times New Roman" w:hint="eastAsia"/>
          <w:b/>
          <w:sz w:val="28"/>
          <w:szCs w:val="28"/>
        </w:rPr>
        <w:t>分，考试时间</w:t>
      </w:r>
      <w:r>
        <w:rPr>
          <w:rFonts w:ascii="Times New Roman" w:hAnsi="Times New Roman" w:hint="eastAsia"/>
          <w:b/>
          <w:sz w:val="28"/>
          <w:szCs w:val="28"/>
        </w:rPr>
        <w:t xml:space="preserve"> 3</w:t>
      </w:r>
      <w:r>
        <w:rPr>
          <w:rFonts w:ascii="Times New Roman" w:hAnsi="Times New Roman" w:hint="eastAsia"/>
          <w:b/>
          <w:sz w:val="28"/>
          <w:szCs w:val="28"/>
        </w:rPr>
        <w:t>小时）</w:t>
      </w:r>
    </w:p>
    <w:p w:rsidR="009248CE" w:rsidRPr="00C023C6" w:rsidRDefault="009248CE" w:rsidP="009248CE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</w:p>
    <w:p w:rsidR="009248CE" w:rsidRPr="00C023C6" w:rsidRDefault="009248CE" w:rsidP="009248CE">
      <w:pPr>
        <w:pStyle w:val="a5"/>
        <w:ind w:firstLine="420"/>
        <w:rPr>
          <w:rFonts w:ascii="Times New Roman" w:hAnsi="Times New Roman"/>
          <w:bCs/>
        </w:rPr>
      </w:pPr>
      <w:r w:rsidRPr="00C023C6">
        <w:rPr>
          <w:rFonts w:ascii="Times New Roman" w:hAnsi="Times New Roman"/>
          <w:bCs/>
        </w:rPr>
        <w:t>掌握材料科学与工程学科的内涵、范畴及研究内容，能将材料科学的基础理论与国内国际材料的发展实践相结合，</w:t>
      </w:r>
      <w:r w:rsidRPr="00C023C6">
        <w:rPr>
          <w:rFonts w:ascii="Times New Roman" w:hAnsi="Times New Roman"/>
          <w:szCs w:val="21"/>
        </w:rPr>
        <w:t>揭示材料</w:t>
      </w:r>
      <w:r w:rsidRPr="00C023C6">
        <w:rPr>
          <w:rFonts w:ascii="Times New Roman" w:hAnsi="Times New Roman"/>
          <w:bCs/>
        </w:rPr>
        <w:t>组成</w:t>
      </w:r>
      <w:r w:rsidRPr="00C023C6">
        <w:rPr>
          <w:rFonts w:ascii="Times New Roman" w:hAnsi="Times New Roman"/>
          <w:bCs/>
        </w:rPr>
        <w:t>—</w:t>
      </w:r>
      <w:r w:rsidRPr="00C023C6">
        <w:rPr>
          <w:rFonts w:ascii="Times New Roman" w:hAnsi="Times New Roman"/>
          <w:bCs/>
        </w:rPr>
        <w:t>材料结构－材料性质三者之间的联系。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第一章</w:t>
      </w:r>
      <w:r w:rsidRPr="00C023C6">
        <w:rPr>
          <w:rFonts w:ascii="Times New Roman" w:hAnsi="Times New Roman"/>
          <w:b/>
        </w:rPr>
        <w:t xml:space="preserve">   </w:t>
      </w:r>
      <w:r w:rsidRPr="00C023C6">
        <w:rPr>
          <w:rFonts w:ascii="Times New Roman" w:hAnsi="Times New Roman"/>
          <w:b/>
        </w:rPr>
        <w:t>晶体结构缺陷</w:t>
      </w:r>
      <w:r w:rsidRPr="00C023C6">
        <w:rPr>
          <w:rFonts w:ascii="Times New Roman" w:hAnsi="Times New Roman"/>
          <w:b/>
        </w:rPr>
        <w:t xml:space="preserve"> </w:t>
      </w:r>
    </w:p>
    <w:p w:rsidR="009248CE" w:rsidRPr="00C023C6" w:rsidRDefault="009248CE" w:rsidP="009248CE">
      <w:pPr>
        <w:numPr>
          <w:ilvl w:val="0"/>
          <w:numId w:val="1"/>
        </w:numPr>
        <w:spacing w:line="400" w:lineRule="exact"/>
        <w:rPr>
          <w:bCs/>
        </w:rPr>
      </w:pPr>
      <w:r w:rsidRPr="00C023C6">
        <w:rPr>
          <w:bCs/>
        </w:rPr>
        <w:t>掌握晶体</w:t>
      </w:r>
      <w:r>
        <w:rPr>
          <w:rFonts w:hint="eastAsia"/>
          <w:bCs/>
        </w:rPr>
        <w:t>结构中的点</w:t>
      </w:r>
      <w:r w:rsidRPr="00C023C6">
        <w:rPr>
          <w:bCs/>
        </w:rPr>
        <w:t>缺陷。</w:t>
      </w:r>
    </w:p>
    <w:p w:rsidR="009248CE" w:rsidRPr="00C023C6" w:rsidRDefault="009248CE" w:rsidP="009248CE">
      <w:pPr>
        <w:numPr>
          <w:ilvl w:val="0"/>
          <w:numId w:val="1"/>
        </w:numPr>
        <w:spacing w:line="400" w:lineRule="exact"/>
        <w:rPr>
          <w:bCs/>
        </w:rPr>
      </w:pPr>
      <w:r w:rsidRPr="00C023C6">
        <w:rPr>
          <w:bCs/>
        </w:rPr>
        <w:t>掌握几种典型的无机化合物晶体结构（钙钛矿、尖晶石、金红石等）。</w:t>
      </w:r>
    </w:p>
    <w:p w:rsidR="009248CE" w:rsidRDefault="009248CE" w:rsidP="009248CE">
      <w:pPr>
        <w:numPr>
          <w:ilvl w:val="0"/>
          <w:numId w:val="1"/>
        </w:numPr>
        <w:spacing w:line="400" w:lineRule="exact"/>
        <w:rPr>
          <w:rFonts w:hint="eastAsia"/>
        </w:rPr>
      </w:pPr>
      <w:r w:rsidRPr="00C023C6">
        <w:t>掌握固溶体的分类及研究方法。</w:t>
      </w:r>
    </w:p>
    <w:p w:rsidR="009248CE" w:rsidRPr="00C023C6" w:rsidRDefault="009248CE" w:rsidP="009248CE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缺陷化学反应式的建立。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本章重点：晶体</w:t>
      </w:r>
      <w:r>
        <w:rPr>
          <w:rFonts w:ascii="Times New Roman" w:hAnsi="Times New Roman" w:hint="eastAsia"/>
        </w:rPr>
        <w:t>结构中点</w:t>
      </w:r>
      <w:r w:rsidRPr="00C023C6">
        <w:rPr>
          <w:rFonts w:ascii="Times New Roman" w:hAnsi="Times New Roman"/>
        </w:rPr>
        <w:t>缺陷的分类。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本章难点：固溶体的分类及研究方法。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第二章</w:t>
      </w:r>
      <w:r w:rsidRPr="00C023C6">
        <w:rPr>
          <w:rFonts w:ascii="Times New Roman" w:hAnsi="Times New Roman"/>
          <w:b/>
        </w:rPr>
        <w:t xml:space="preserve">   </w:t>
      </w:r>
      <w:r w:rsidRPr="00C023C6">
        <w:rPr>
          <w:rFonts w:ascii="Times New Roman" w:hAnsi="Times New Roman"/>
          <w:b/>
        </w:rPr>
        <w:t>熔体与玻璃体</w:t>
      </w:r>
      <w:r w:rsidRPr="00C023C6">
        <w:rPr>
          <w:rFonts w:ascii="Times New Roman" w:hAnsi="Times New Roman"/>
          <w:b/>
        </w:rPr>
        <w:t xml:space="preserve"> 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  <w:rPr>
          <w:bCs/>
        </w:rPr>
      </w:pPr>
      <w:r w:rsidRPr="00C023C6">
        <w:rPr>
          <w:bCs/>
        </w:rPr>
        <w:t>熔体的结构。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</w:pPr>
      <w:r w:rsidRPr="00C023C6">
        <w:t>熔体的性质。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  <w:rPr>
          <w:bCs/>
        </w:rPr>
      </w:pPr>
      <w:r w:rsidRPr="00C023C6">
        <w:t>玻璃的通性。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</w:pPr>
      <w:r w:rsidRPr="00C023C6">
        <w:rPr>
          <w:bCs/>
        </w:rPr>
        <w:t>玻璃的形成。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</w:pPr>
      <w:r w:rsidRPr="00C023C6">
        <w:rPr>
          <w:bCs/>
        </w:rPr>
        <w:t>玻璃的结构学说。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</w:pPr>
      <w:r w:rsidRPr="00C023C6">
        <w:t>常见玻璃的结构。</w:t>
      </w:r>
    </w:p>
    <w:p w:rsidR="009248CE" w:rsidRPr="00C023C6" w:rsidRDefault="009248CE" w:rsidP="009248CE">
      <w:pPr>
        <w:numPr>
          <w:ilvl w:val="0"/>
          <w:numId w:val="2"/>
        </w:numPr>
        <w:spacing w:line="400" w:lineRule="exact"/>
      </w:pPr>
      <w:r w:rsidRPr="00C023C6">
        <w:t>玻璃的热历史。</w:t>
      </w:r>
    </w:p>
    <w:p w:rsidR="009248CE" w:rsidRPr="00C023C6" w:rsidRDefault="009248CE" w:rsidP="009248CE">
      <w:r w:rsidRPr="00C023C6">
        <w:t>本章重点：玻璃的形成条件。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本章难点：熔体和玻璃体的结构。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第三章</w:t>
      </w:r>
      <w:r w:rsidRPr="00C023C6">
        <w:rPr>
          <w:rFonts w:ascii="Times New Roman" w:hAnsi="Times New Roman"/>
          <w:b/>
        </w:rPr>
        <w:t xml:space="preserve">   </w:t>
      </w:r>
      <w:r w:rsidRPr="00C023C6">
        <w:rPr>
          <w:rFonts w:ascii="Times New Roman" w:hAnsi="Times New Roman"/>
          <w:b/>
        </w:rPr>
        <w:t>相平衡</w:t>
      </w:r>
      <w:r w:rsidRPr="00C023C6">
        <w:rPr>
          <w:rFonts w:ascii="Times New Roman" w:hAnsi="Times New Roman"/>
          <w:b/>
        </w:rPr>
        <w:t xml:space="preserve"> 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numPr>
          <w:ilvl w:val="0"/>
          <w:numId w:val="3"/>
        </w:numPr>
        <w:spacing w:line="400" w:lineRule="exact"/>
        <w:rPr>
          <w:bCs/>
        </w:rPr>
      </w:pPr>
      <w:r w:rsidRPr="00C023C6">
        <w:t>理解硅酸盐系统相平衡特点。</w:t>
      </w:r>
    </w:p>
    <w:p w:rsidR="009248CE" w:rsidRPr="00C023C6" w:rsidRDefault="009248CE" w:rsidP="009248CE">
      <w:pPr>
        <w:numPr>
          <w:ilvl w:val="0"/>
          <w:numId w:val="3"/>
        </w:numPr>
        <w:spacing w:line="400" w:lineRule="exact"/>
      </w:pPr>
      <w:r w:rsidRPr="00C023C6">
        <w:t>理解相图热力学的基本原理。</w:t>
      </w:r>
    </w:p>
    <w:p w:rsidR="009248CE" w:rsidRPr="00C023C6" w:rsidRDefault="009248CE" w:rsidP="009248CE">
      <w:pPr>
        <w:numPr>
          <w:ilvl w:val="0"/>
          <w:numId w:val="3"/>
        </w:numPr>
        <w:spacing w:line="400" w:lineRule="exact"/>
      </w:pPr>
      <w:r w:rsidRPr="00C023C6">
        <w:t>掌握单元系统相图</w:t>
      </w:r>
      <w:r>
        <w:rPr>
          <w:rFonts w:hint="eastAsia"/>
        </w:rPr>
        <w:t>及应用</w:t>
      </w:r>
      <w:r w:rsidRPr="00C023C6">
        <w:t>。</w:t>
      </w:r>
    </w:p>
    <w:p w:rsidR="009248CE" w:rsidRPr="00C023C6" w:rsidRDefault="009248CE" w:rsidP="009248CE">
      <w:pPr>
        <w:numPr>
          <w:ilvl w:val="0"/>
          <w:numId w:val="3"/>
        </w:numPr>
        <w:spacing w:line="400" w:lineRule="exact"/>
      </w:pPr>
      <w:r w:rsidRPr="00C023C6">
        <w:t>掌握二元系统相图及应用。</w:t>
      </w:r>
    </w:p>
    <w:p w:rsidR="009248CE" w:rsidRPr="00C023C6" w:rsidRDefault="009248CE" w:rsidP="009248CE">
      <w:pPr>
        <w:numPr>
          <w:ilvl w:val="0"/>
          <w:numId w:val="3"/>
        </w:numPr>
        <w:spacing w:line="400" w:lineRule="exact"/>
      </w:pPr>
      <w:r w:rsidRPr="00C023C6">
        <w:t>掌握三元系统相图及应用。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本章重点：二元和三元系统基本相图。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</w:t>
      </w:r>
      <w:r w:rsidRPr="00C023C6">
        <w:rPr>
          <w:rFonts w:ascii="Times New Roman" w:hAnsi="Times New Roman"/>
        </w:rPr>
        <w:t xml:space="preserve"> </w:t>
      </w:r>
      <w:r w:rsidRPr="00C023C6">
        <w:rPr>
          <w:rFonts w:ascii="Times New Roman" w:hAnsi="Times New Roman"/>
        </w:rPr>
        <w:t>专业相图的应用。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第四章</w:t>
      </w:r>
      <w:r w:rsidRPr="00C023C6">
        <w:rPr>
          <w:rFonts w:ascii="Times New Roman" w:hAnsi="Times New Roman"/>
          <w:b/>
        </w:rPr>
        <w:t xml:space="preserve">   </w:t>
      </w:r>
      <w:r w:rsidRPr="00C023C6">
        <w:rPr>
          <w:rFonts w:ascii="Times New Roman" w:hAnsi="Times New Roman"/>
          <w:b/>
        </w:rPr>
        <w:t>扩散</w:t>
      </w:r>
      <w:r w:rsidRPr="00C023C6">
        <w:rPr>
          <w:rFonts w:ascii="Times New Roman" w:hAnsi="Times New Roman"/>
          <w:b/>
        </w:rPr>
        <w:t xml:space="preserve"> 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扩散方程。</w:t>
      </w:r>
    </w:p>
    <w:p w:rsidR="009248CE" w:rsidRPr="00C023C6" w:rsidRDefault="009248CE" w:rsidP="009248CE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lastRenderedPageBreak/>
        <w:t>扩散过程的热力学理论。</w:t>
      </w:r>
    </w:p>
    <w:p w:rsidR="009248CE" w:rsidRPr="00C023C6" w:rsidRDefault="009248CE" w:rsidP="009248CE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扩散过程的微观理论。</w:t>
      </w:r>
    </w:p>
    <w:p w:rsidR="009248CE" w:rsidRPr="00C023C6" w:rsidRDefault="009248CE" w:rsidP="009248CE">
      <w:pPr>
        <w:pStyle w:val="a5"/>
        <w:numPr>
          <w:ilvl w:val="0"/>
          <w:numId w:val="4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固体材料中的扩散及影响扩散的诸因素。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本章重点：扩散过程的微观理论。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本章难点：扩散过程的热力学理论。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第五章</w:t>
      </w:r>
      <w:r w:rsidRPr="00C023C6">
        <w:rPr>
          <w:rFonts w:ascii="Times New Roman" w:hAnsi="Times New Roman"/>
          <w:b/>
        </w:rPr>
        <w:t xml:space="preserve">   </w:t>
      </w:r>
      <w:r w:rsidRPr="00C023C6">
        <w:rPr>
          <w:rFonts w:ascii="Times New Roman" w:hAnsi="Times New Roman"/>
          <w:b/>
        </w:rPr>
        <w:t>固相反应</w:t>
      </w:r>
      <w:r w:rsidRPr="00C023C6">
        <w:rPr>
          <w:rFonts w:ascii="Times New Roman" w:hAnsi="Times New Roman"/>
          <w:b/>
        </w:rPr>
        <w:t xml:space="preserve"> 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pStyle w:val="a5"/>
        <w:numPr>
          <w:ilvl w:val="0"/>
          <w:numId w:val="5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了解固相反应及动力学特征。</w:t>
      </w:r>
    </w:p>
    <w:p w:rsidR="009248CE" w:rsidRPr="00C023C6" w:rsidRDefault="009248CE" w:rsidP="009248CE">
      <w:pPr>
        <w:pStyle w:val="a5"/>
        <w:numPr>
          <w:ilvl w:val="0"/>
          <w:numId w:val="5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掌握固相反应的动力学方程。</w:t>
      </w:r>
    </w:p>
    <w:p w:rsidR="009248CE" w:rsidRPr="00C023C6" w:rsidRDefault="009248CE" w:rsidP="009248CE">
      <w:pPr>
        <w:pStyle w:val="a5"/>
        <w:numPr>
          <w:ilvl w:val="0"/>
          <w:numId w:val="5"/>
        </w:numPr>
        <w:ind w:firstLineChars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熟识影响固相反应的因素。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本章重点：固相反应及动力学特征。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本章难点：固相反应的动力学方程。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第六章</w:t>
      </w:r>
      <w:r w:rsidRPr="00C023C6">
        <w:rPr>
          <w:rFonts w:ascii="Times New Roman" w:hAnsi="Times New Roman"/>
          <w:b/>
        </w:rPr>
        <w:t xml:space="preserve">  </w:t>
      </w:r>
      <w:r w:rsidRPr="00C023C6">
        <w:rPr>
          <w:rFonts w:ascii="Times New Roman" w:hAnsi="Times New Roman"/>
          <w:b/>
        </w:rPr>
        <w:t>相变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pStyle w:val="a6"/>
        <w:numPr>
          <w:ilvl w:val="0"/>
          <w:numId w:val="6"/>
        </w:numPr>
        <w:tabs>
          <w:tab w:val="right" w:pos="0"/>
        </w:tabs>
        <w:spacing w:line="400" w:lineRule="exact"/>
        <w:ind w:firstLine="0"/>
        <w:rPr>
          <w:bCs/>
          <w:sz w:val="21"/>
        </w:rPr>
      </w:pPr>
      <w:r w:rsidRPr="00C023C6">
        <w:rPr>
          <w:bCs/>
          <w:sz w:val="21"/>
        </w:rPr>
        <w:t>了解相变的分类。</w:t>
      </w:r>
    </w:p>
    <w:p w:rsidR="009248CE" w:rsidRPr="00C023C6" w:rsidRDefault="009248CE" w:rsidP="009248CE">
      <w:pPr>
        <w:pStyle w:val="a6"/>
        <w:numPr>
          <w:ilvl w:val="0"/>
          <w:numId w:val="6"/>
        </w:numPr>
        <w:tabs>
          <w:tab w:val="right" w:pos="0"/>
        </w:tabs>
        <w:spacing w:line="400" w:lineRule="exact"/>
        <w:ind w:firstLine="0"/>
        <w:rPr>
          <w:bCs/>
          <w:sz w:val="21"/>
        </w:rPr>
      </w:pPr>
      <w:r w:rsidRPr="00C023C6">
        <w:rPr>
          <w:bCs/>
          <w:sz w:val="21"/>
        </w:rPr>
        <w:t>掌握液</w:t>
      </w:r>
      <w:r w:rsidRPr="00C023C6">
        <w:rPr>
          <w:bCs/>
          <w:sz w:val="21"/>
        </w:rPr>
        <w:t>—</w:t>
      </w:r>
      <w:r w:rsidRPr="00C023C6">
        <w:rPr>
          <w:bCs/>
          <w:sz w:val="21"/>
        </w:rPr>
        <w:t>固相变过程。</w:t>
      </w:r>
    </w:p>
    <w:p w:rsidR="009248CE" w:rsidRPr="00C023C6" w:rsidRDefault="009248CE" w:rsidP="009248CE">
      <w:pPr>
        <w:pStyle w:val="a6"/>
        <w:numPr>
          <w:ilvl w:val="0"/>
          <w:numId w:val="6"/>
        </w:numPr>
        <w:tabs>
          <w:tab w:val="right" w:pos="0"/>
        </w:tabs>
        <w:spacing w:line="400" w:lineRule="exact"/>
        <w:ind w:firstLine="0"/>
        <w:rPr>
          <w:bCs/>
          <w:sz w:val="21"/>
        </w:rPr>
      </w:pPr>
      <w:r w:rsidRPr="00C023C6">
        <w:rPr>
          <w:bCs/>
          <w:sz w:val="21"/>
        </w:rPr>
        <w:t>掌握相图的热力学推导。</w:t>
      </w:r>
    </w:p>
    <w:p w:rsidR="009248CE" w:rsidRPr="00C023C6" w:rsidRDefault="009248CE" w:rsidP="009248CE">
      <w:pPr>
        <w:pStyle w:val="a6"/>
        <w:numPr>
          <w:ilvl w:val="0"/>
          <w:numId w:val="6"/>
        </w:numPr>
        <w:tabs>
          <w:tab w:val="right" w:pos="0"/>
        </w:tabs>
        <w:spacing w:line="400" w:lineRule="exact"/>
        <w:ind w:firstLine="0"/>
        <w:rPr>
          <w:bCs/>
          <w:sz w:val="21"/>
        </w:rPr>
      </w:pPr>
      <w:r w:rsidRPr="00C023C6">
        <w:rPr>
          <w:bCs/>
          <w:sz w:val="21"/>
        </w:rPr>
        <w:t>掌握液</w:t>
      </w:r>
      <w:r w:rsidRPr="00C023C6">
        <w:rPr>
          <w:bCs/>
          <w:sz w:val="21"/>
        </w:rPr>
        <w:t>—</w:t>
      </w:r>
      <w:r w:rsidRPr="00C023C6">
        <w:rPr>
          <w:bCs/>
          <w:sz w:val="21"/>
        </w:rPr>
        <w:t>液相变过程。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 w:rsidRPr="00C023C6">
        <w:rPr>
          <w:rFonts w:ascii="Times New Roman" w:hAnsi="Times New Roman"/>
          <w:bCs/>
        </w:rPr>
        <w:t>液</w:t>
      </w:r>
      <w:r w:rsidRPr="00C023C6">
        <w:rPr>
          <w:rFonts w:ascii="Times New Roman" w:hAnsi="Times New Roman"/>
          <w:bCs/>
        </w:rPr>
        <w:t>—</w:t>
      </w:r>
      <w:r w:rsidRPr="00C023C6">
        <w:rPr>
          <w:rFonts w:ascii="Times New Roman" w:hAnsi="Times New Roman"/>
          <w:bCs/>
        </w:rPr>
        <w:t>固相变过程。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  <w:b/>
        </w:rPr>
        <w:t>第七章</w:t>
      </w:r>
      <w:r w:rsidRPr="00C023C6">
        <w:rPr>
          <w:rFonts w:ascii="Times New Roman" w:hAnsi="Times New Roman"/>
          <w:b/>
        </w:rPr>
        <w:t xml:space="preserve">  </w:t>
      </w:r>
      <w:r w:rsidRPr="00C023C6">
        <w:rPr>
          <w:rFonts w:ascii="Times New Roman" w:hAnsi="Times New Roman"/>
          <w:b/>
        </w:rPr>
        <w:t>烧结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9248CE" w:rsidRPr="00C023C6" w:rsidRDefault="009248CE" w:rsidP="009248CE">
      <w:pPr>
        <w:pStyle w:val="a6"/>
        <w:tabs>
          <w:tab w:val="right" w:pos="0"/>
        </w:tabs>
        <w:spacing w:line="400" w:lineRule="exact"/>
        <w:ind w:left="353"/>
        <w:jc w:val="both"/>
        <w:rPr>
          <w:bCs/>
          <w:sz w:val="21"/>
        </w:rPr>
      </w:pPr>
      <w:r w:rsidRPr="00C023C6">
        <w:rPr>
          <w:bCs/>
          <w:sz w:val="21"/>
        </w:rPr>
        <w:t>1.</w:t>
      </w:r>
      <w:r w:rsidRPr="00C023C6">
        <w:rPr>
          <w:bCs/>
          <w:sz w:val="21"/>
        </w:rPr>
        <w:t>了解烧结的基本概念</w:t>
      </w:r>
      <w:r>
        <w:rPr>
          <w:rFonts w:hint="eastAsia"/>
          <w:bCs/>
          <w:sz w:val="21"/>
        </w:rPr>
        <w:t>及推动力</w:t>
      </w:r>
      <w:r w:rsidRPr="00C023C6">
        <w:rPr>
          <w:bCs/>
          <w:sz w:val="21"/>
        </w:rPr>
        <w:t>。</w:t>
      </w:r>
    </w:p>
    <w:p w:rsidR="009248CE" w:rsidRPr="00C023C6" w:rsidRDefault="009248CE" w:rsidP="009248CE">
      <w:pPr>
        <w:pStyle w:val="a6"/>
        <w:tabs>
          <w:tab w:val="right" w:pos="0"/>
        </w:tabs>
        <w:spacing w:line="400" w:lineRule="exact"/>
        <w:ind w:leftChars="68" w:left="143" w:firstLineChars="100" w:firstLine="210"/>
        <w:jc w:val="both"/>
        <w:rPr>
          <w:bCs/>
          <w:sz w:val="21"/>
        </w:rPr>
      </w:pPr>
      <w:r w:rsidRPr="00C023C6">
        <w:rPr>
          <w:bCs/>
          <w:sz w:val="21"/>
        </w:rPr>
        <w:t>2.</w:t>
      </w:r>
      <w:r w:rsidRPr="00C023C6">
        <w:rPr>
          <w:bCs/>
          <w:sz w:val="21"/>
        </w:rPr>
        <w:t>掌握</w:t>
      </w:r>
      <w:r>
        <w:rPr>
          <w:rFonts w:hint="eastAsia"/>
          <w:bCs/>
          <w:sz w:val="21"/>
        </w:rPr>
        <w:t>固相烧结和</w:t>
      </w:r>
      <w:r w:rsidRPr="00C023C6">
        <w:rPr>
          <w:bCs/>
          <w:sz w:val="21"/>
        </w:rPr>
        <w:t>液相烧结</w:t>
      </w:r>
      <w:r>
        <w:rPr>
          <w:rFonts w:hint="eastAsia"/>
          <w:bCs/>
          <w:sz w:val="21"/>
        </w:rPr>
        <w:t>的四种传质</w:t>
      </w:r>
      <w:r w:rsidRPr="00C023C6">
        <w:rPr>
          <w:bCs/>
          <w:sz w:val="21"/>
        </w:rPr>
        <w:t>方式。</w:t>
      </w:r>
    </w:p>
    <w:p w:rsidR="009248CE" w:rsidRPr="00C023C6" w:rsidRDefault="009248CE" w:rsidP="009248CE">
      <w:pPr>
        <w:pStyle w:val="a6"/>
        <w:tabs>
          <w:tab w:val="right" w:pos="0"/>
        </w:tabs>
        <w:spacing w:line="400" w:lineRule="exact"/>
        <w:ind w:leftChars="68" w:left="143" w:firstLineChars="100" w:firstLine="210"/>
        <w:jc w:val="both"/>
      </w:pPr>
      <w:r w:rsidRPr="00C023C6">
        <w:rPr>
          <w:bCs/>
          <w:sz w:val="21"/>
        </w:rPr>
        <w:t>3.</w:t>
      </w:r>
      <w:r w:rsidRPr="00C023C6">
        <w:rPr>
          <w:bCs/>
          <w:sz w:val="21"/>
        </w:rPr>
        <w:t>掌握晶核生长与二次再结晶。</w:t>
      </w:r>
    </w:p>
    <w:p w:rsidR="009248CE" w:rsidRPr="00C023C6" w:rsidRDefault="009248CE" w:rsidP="009248CE">
      <w:pPr>
        <w:pStyle w:val="a6"/>
        <w:tabs>
          <w:tab w:val="right" w:pos="0"/>
        </w:tabs>
        <w:spacing w:line="400" w:lineRule="exact"/>
        <w:ind w:left="353"/>
        <w:jc w:val="both"/>
      </w:pPr>
      <w:r w:rsidRPr="00C023C6">
        <w:rPr>
          <w:bCs/>
          <w:sz w:val="21"/>
        </w:rPr>
        <w:t>4.</w:t>
      </w:r>
      <w:r>
        <w:rPr>
          <w:rFonts w:hint="eastAsia"/>
          <w:bCs/>
          <w:sz w:val="21"/>
        </w:rPr>
        <w:t>深刻理解</w:t>
      </w:r>
      <w:r w:rsidRPr="00C023C6">
        <w:rPr>
          <w:bCs/>
          <w:sz w:val="21"/>
        </w:rPr>
        <w:t>影响烧结的因素及</w:t>
      </w:r>
      <w:r w:rsidRPr="00C023C6">
        <w:rPr>
          <w:sz w:val="21"/>
        </w:rPr>
        <w:t>特种烧结原理。</w:t>
      </w:r>
    </w:p>
    <w:p w:rsidR="009248CE" w:rsidRPr="00C023C6" w:rsidRDefault="009248CE" w:rsidP="009248CE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 w:rsidRPr="00C023C6">
        <w:rPr>
          <w:rFonts w:ascii="Times New Roman" w:hAnsi="Times New Roman"/>
          <w:bCs/>
        </w:rPr>
        <w:t>液</w:t>
      </w:r>
      <w:r w:rsidRPr="00C023C6">
        <w:rPr>
          <w:rFonts w:ascii="Times New Roman" w:hAnsi="Times New Roman"/>
          <w:bCs/>
        </w:rPr>
        <w:t>—</w:t>
      </w:r>
      <w:r w:rsidRPr="00C023C6">
        <w:rPr>
          <w:rFonts w:ascii="Times New Roman" w:hAnsi="Times New Roman"/>
          <w:bCs/>
        </w:rPr>
        <w:t>固相变过程。</w:t>
      </w:r>
    </w:p>
    <w:p w:rsidR="00CF5027" w:rsidRPr="009248CE" w:rsidRDefault="00CF5027"/>
    <w:sectPr w:rsidR="00CF5027" w:rsidRPr="0092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27" w:rsidRDefault="00CF5027" w:rsidP="009248CE">
      <w:r>
        <w:separator/>
      </w:r>
    </w:p>
  </w:endnote>
  <w:endnote w:type="continuationSeparator" w:id="1">
    <w:p w:rsidR="00CF5027" w:rsidRDefault="00CF5027" w:rsidP="0092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27" w:rsidRDefault="00CF5027" w:rsidP="009248CE">
      <w:r>
        <w:separator/>
      </w:r>
    </w:p>
  </w:footnote>
  <w:footnote w:type="continuationSeparator" w:id="1">
    <w:p w:rsidR="00CF5027" w:rsidRDefault="00CF5027" w:rsidP="00924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FB0"/>
    <w:multiLevelType w:val="hybridMultilevel"/>
    <w:tmpl w:val="0CF8E314"/>
    <w:lvl w:ilvl="0" w:tplc="BA0045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596CC9"/>
    <w:multiLevelType w:val="hybridMultilevel"/>
    <w:tmpl w:val="34481160"/>
    <w:lvl w:ilvl="0" w:tplc="2BA81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5211FAB"/>
    <w:multiLevelType w:val="hybridMultilevel"/>
    <w:tmpl w:val="6B4A6F64"/>
    <w:lvl w:ilvl="0" w:tplc="27CC1C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0403D6A"/>
    <w:multiLevelType w:val="hybridMultilevel"/>
    <w:tmpl w:val="850CC35E"/>
    <w:lvl w:ilvl="0" w:tplc="05C0D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682D660C"/>
    <w:multiLevelType w:val="hybridMultilevel"/>
    <w:tmpl w:val="46A4625C"/>
    <w:lvl w:ilvl="0" w:tplc="159EB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F3D35D2"/>
    <w:multiLevelType w:val="hybridMultilevel"/>
    <w:tmpl w:val="2C6C773E"/>
    <w:lvl w:ilvl="0" w:tplc="A984D8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8CE"/>
    <w:rsid w:val="009248CE"/>
    <w:rsid w:val="00CF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8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8CE"/>
    <w:rPr>
      <w:sz w:val="18"/>
      <w:szCs w:val="18"/>
    </w:rPr>
  </w:style>
  <w:style w:type="paragraph" w:styleId="a5">
    <w:name w:val="Plain Text"/>
    <w:basedOn w:val="a"/>
    <w:link w:val="Char1"/>
    <w:rsid w:val="009248CE"/>
    <w:pPr>
      <w:spacing w:line="400" w:lineRule="exact"/>
      <w:ind w:firstLineChars="200" w:firstLine="200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9248CE"/>
    <w:rPr>
      <w:rFonts w:ascii="宋体" w:eastAsia="宋体" w:hAnsi="Courier New" w:cs="Times New Roman"/>
      <w:szCs w:val="20"/>
    </w:rPr>
  </w:style>
  <w:style w:type="paragraph" w:styleId="a6">
    <w:name w:val="Body Text Indent"/>
    <w:basedOn w:val="a"/>
    <w:link w:val="Char2"/>
    <w:rsid w:val="009248CE"/>
    <w:pPr>
      <w:widowControl/>
      <w:tabs>
        <w:tab w:val="left" w:pos="0"/>
      </w:tabs>
      <w:ind w:left="142"/>
      <w:jc w:val="left"/>
    </w:pPr>
    <w:rPr>
      <w:rFonts w:ascii="Times New Roman" w:eastAsia="宋体" w:hAnsi="Times New Roman" w:cs="Times New Roman"/>
      <w:kern w:val="0"/>
      <w:sz w:val="30"/>
      <w:szCs w:val="20"/>
    </w:rPr>
  </w:style>
  <w:style w:type="character" w:customStyle="1" w:styleId="Char2">
    <w:name w:val="正文文本缩进 Char"/>
    <w:basedOn w:val="a0"/>
    <w:link w:val="a6"/>
    <w:rsid w:val="009248CE"/>
    <w:rPr>
      <w:rFonts w:ascii="Times New Roman" w:eastAsia="宋体" w:hAnsi="Times New Roman" w:cs="Times New Roman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2015-07-15T03:49:00Z</dcterms:created>
  <dcterms:modified xsi:type="dcterms:W3CDTF">2015-07-15T03:50:00Z</dcterms:modified>
</cp:coreProperties>
</file>