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硕士研究生入学考试自命题科目考试大纲</w:t>
      </w:r>
    </w:p>
    <w:p>
      <w:pPr>
        <w:spacing w:line="500" w:lineRule="exact"/>
        <w:jc w:val="center"/>
        <w:rPr>
          <w:rFonts w:eastAsia="方正书宋简体"/>
          <w:sz w:val="24"/>
        </w:rPr>
      </w:pPr>
      <w:r>
        <w:rPr>
          <w:rFonts w:eastAsia="方正书宋简体"/>
          <w:sz w:val="24"/>
        </w:rPr>
        <w:t>科目代码：874   科目名称：物理化学</w:t>
      </w:r>
    </w:p>
    <w:p>
      <w:pPr>
        <w:snapToGrid w:val="0"/>
        <w:spacing w:before="156" w:beforeLines="50" w:after="156" w:afterLines="50"/>
        <w:outlineLvl w:val="0"/>
        <w:rPr>
          <w:rFonts w:eastAsia="黑体"/>
          <w:szCs w:val="21"/>
        </w:rPr>
      </w:pPr>
      <w:r>
        <w:rPr>
          <w:rFonts w:eastAsia="黑体"/>
          <w:szCs w:val="21"/>
        </w:rPr>
        <w:t>一. 考试要求</w:t>
      </w:r>
    </w:p>
    <w:p>
      <w:pPr>
        <w:snapToGrid w:val="0"/>
        <w:spacing w:before="156" w:beforeLines="50" w:after="156" w:afterLines="50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主要考查学生对物理化学理论和基本概念的理解与掌握，以及运用物理化学基本原理、基本理论和方法，分析和解决</w:t>
      </w:r>
      <w:r>
        <w:rPr>
          <w:rFonts w:hint="eastAsia" w:eastAsia="仿宋_GB2312"/>
          <w:szCs w:val="21"/>
        </w:rPr>
        <w:t>实际</w:t>
      </w:r>
      <w:r>
        <w:rPr>
          <w:rFonts w:eastAsia="仿宋_GB2312"/>
          <w:szCs w:val="21"/>
        </w:rPr>
        <w:t>问题的能力。</w:t>
      </w:r>
    </w:p>
    <w:p>
      <w:pPr>
        <w:snapToGrid w:val="0"/>
        <w:spacing w:before="156" w:beforeLines="50" w:after="156" w:afterLines="50"/>
        <w:outlineLvl w:val="0"/>
        <w:rPr>
          <w:rFonts w:eastAsia="黑体"/>
          <w:szCs w:val="21"/>
        </w:rPr>
      </w:pPr>
      <w:r>
        <w:rPr>
          <w:rFonts w:eastAsia="黑体"/>
          <w:szCs w:val="21"/>
        </w:rPr>
        <w:t>二、考试内容</w:t>
      </w:r>
    </w:p>
    <w:p>
      <w:pPr>
        <w:snapToGrid w:val="0"/>
        <w:spacing w:before="156" w:beforeLines="50" w:after="156" w:afterLines="50"/>
        <w:ind w:firstLine="422" w:firstLineChars="200"/>
        <w:rPr>
          <w:rFonts w:eastAsia="仿宋_GB2312"/>
          <w:b/>
          <w:szCs w:val="21"/>
        </w:rPr>
      </w:pPr>
      <w:r>
        <w:rPr>
          <w:rFonts w:eastAsia="仿宋_GB2312"/>
          <w:b/>
          <w:szCs w:val="21"/>
        </w:rPr>
        <w:t>1．气体</w:t>
      </w:r>
    </w:p>
    <w:p>
      <w:pPr>
        <w:snapToGrid w:val="0"/>
        <w:spacing w:before="156" w:beforeLines="50" w:after="156" w:afterLines="50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气体分子动理论模型，分子运动的速率及平动能的分布规律，分子碰撞与平均自由程，压力与温度的统计概念，理想气体状态方程，实际气体Van der Waals方程式及修正因子的物理意义。</w:t>
      </w:r>
    </w:p>
    <w:p>
      <w:pPr>
        <w:snapToGrid w:val="0"/>
        <w:spacing w:before="156" w:beforeLines="50" w:after="156" w:afterLines="50"/>
        <w:ind w:firstLine="422" w:firstLineChars="200"/>
        <w:rPr>
          <w:rFonts w:eastAsia="仿宋_GB2312"/>
          <w:b/>
          <w:szCs w:val="21"/>
        </w:rPr>
      </w:pPr>
      <w:r>
        <w:rPr>
          <w:rFonts w:eastAsia="仿宋_GB2312"/>
          <w:b/>
          <w:szCs w:val="21"/>
        </w:rPr>
        <w:t>2．热力学</w:t>
      </w:r>
    </w:p>
    <w:p>
      <w:pPr>
        <w:snapToGrid w:val="0"/>
        <w:spacing w:before="156" w:beforeLines="50" w:after="156" w:afterLines="50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热力学三定律（第一、第二、第三）</w:t>
      </w:r>
      <w:r>
        <w:rPr>
          <w:rFonts w:hint="eastAsia" w:eastAsia="仿宋_GB2312"/>
          <w:szCs w:val="21"/>
        </w:rPr>
        <w:t>，</w:t>
      </w:r>
      <w:r>
        <w:rPr>
          <w:rFonts w:eastAsia="仿宋_GB2312"/>
          <w:i/>
          <w:iCs/>
          <w:szCs w:val="21"/>
        </w:rPr>
        <w:t>Q</w:t>
      </w:r>
      <w:r>
        <w:rPr>
          <w:rFonts w:eastAsia="仿宋_GB2312"/>
          <w:szCs w:val="21"/>
        </w:rPr>
        <w:t>、</w:t>
      </w:r>
      <w:r>
        <w:rPr>
          <w:rFonts w:eastAsia="仿宋_GB2312"/>
          <w:i/>
          <w:iCs/>
          <w:szCs w:val="21"/>
        </w:rPr>
        <w:t>W</w:t>
      </w:r>
      <w:r>
        <w:rPr>
          <w:rFonts w:eastAsia="仿宋_GB2312"/>
          <w:szCs w:val="21"/>
        </w:rPr>
        <w:t>、</w:t>
      </w:r>
      <w:r>
        <w:rPr>
          <w:rFonts w:eastAsia="仿宋_GB2312"/>
          <w:i/>
          <w:iCs/>
          <w:szCs w:val="21"/>
        </w:rPr>
        <w:t>U</w:t>
      </w:r>
      <w:r>
        <w:rPr>
          <w:rFonts w:eastAsia="仿宋_GB2312"/>
          <w:szCs w:val="21"/>
        </w:rPr>
        <w:t>、</w:t>
      </w:r>
      <w:r>
        <w:rPr>
          <w:rFonts w:eastAsia="仿宋_GB2312"/>
          <w:i/>
          <w:iCs/>
          <w:szCs w:val="21"/>
        </w:rPr>
        <w:t>H</w:t>
      </w:r>
      <w:r>
        <w:rPr>
          <w:rFonts w:eastAsia="仿宋_GB2312"/>
          <w:szCs w:val="21"/>
        </w:rPr>
        <w:t>、</w:t>
      </w:r>
      <w:r>
        <w:rPr>
          <w:rFonts w:eastAsia="仿宋_GB2312"/>
          <w:i/>
          <w:iCs/>
          <w:szCs w:val="21"/>
        </w:rPr>
        <w:t>S</w:t>
      </w:r>
      <w:r>
        <w:rPr>
          <w:rFonts w:eastAsia="仿宋_GB2312"/>
          <w:szCs w:val="21"/>
        </w:rPr>
        <w:t>、</w:t>
      </w:r>
      <w:r>
        <w:rPr>
          <w:rFonts w:eastAsia="仿宋_GB2312"/>
          <w:i/>
          <w:iCs/>
          <w:szCs w:val="21"/>
        </w:rPr>
        <w:t>A</w:t>
      </w:r>
      <w:r>
        <w:rPr>
          <w:rFonts w:eastAsia="仿宋_GB2312"/>
          <w:szCs w:val="21"/>
        </w:rPr>
        <w:t>、</w:t>
      </w:r>
      <w:r>
        <w:rPr>
          <w:rFonts w:eastAsia="仿宋_GB2312"/>
          <w:i/>
          <w:iCs/>
          <w:szCs w:val="21"/>
        </w:rPr>
        <w:t>G</w:t>
      </w:r>
      <w:r>
        <w:rPr>
          <w:rFonts w:eastAsia="仿宋_GB2312"/>
          <w:szCs w:val="21"/>
        </w:rPr>
        <w:t>等基本概念</w:t>
      </w:r>
      <w:r>
        <w:rPr>
          <w:rFonts w:hint="eastAsia" w:eastAsia="仿宋_GB2312"/>
          <w:szCs w:val="21"/>
        </w:rPr>
        <w:t>、相互关系</w:t>
      </w:r>
      <w:r>
        <w:rPr>
          <w:rFonts w:eastAsia="仿宋_GB2312"/>
          <w:szCs w:val="21"/>
        </w:rPr>
        <w:t>及其在各种变化过程中的表达与求算，</w:t>
      </w:r>
      <w:r>
        <w:rPr>
          <w:rFonts w:hint="eastAsia" w:eastAsia="仿宋_GB2312"/>
          <w:i/>
          <w:iCs/>
          <w:szCs w:val="21"/>
        </w:rPr>
        <w:t>S</w:t>
      </w:r>
      <w:r>
        <w:rPr>
          <w:rFonts w:hint="eastAsia" w:eastAsia="仿宋_GB2312"/>
          <w:szCs w:val="21"/>
        </w:rPr>
        <w:t>、</w:t>
      </w:r>
      <w:r>
        <w:rPr>
          <w:rFonts w:hint="eastAsia" w:eastAsia="仿宋_GB2312"/>
          <w:i/>
          <w:iCs/>
          <w:szCs w:val="21"/>
        </w:rPr>
        <w:t>A</w:t>
      </w:r>
      <w:r>
        <w:rPr>
          <w:rFonts w:hint="eastAsia" w:eastAsia="仿宋_GB2312"/>
          <w:szCs w:val="21"/>
        </w:rPr>
        <w:t>、</w:t>
      </w:r>
      <w:r>
        <w:rPr>
          <w:rFonts w:hint="eastAsia" w:eastAsia="仿宋_GB2312"/>
          <w:i/>
          <w:iCs/>
          <w:szCs w:val="21"/>
        </w:rPr>
        <w:t>G</w:t>
      </w:r>
      <w:r>
        <w:rPr>
          <w:rFonts w:eastAsia="仿宋_GB2312"/>
          <w:szCs w:val="21"/>
        </w:rPr>
        <w:t>判据</w:t>
      </w:r>
      <w:r>
        <w:rPr>
          <w:rFonts w:hint="eastAsia" w:eastAsia="仿宋_GB2312"/>
          <w:szCs w:val="21"/>
        </w:rPr>
        <w:t>与</w:t>
      </w:r>
      <w:r>
        <w:rPr>
          <w:rFonts w:eastAsia="仿宋_GB2312"/>
          <w:szCs w:val="21"/>
        </w:rPr>
        <w:t>变化方向</w:t>
      </w:r>
      <w:r>
        <w:rPr>
          <w:rFonts w:hint="eastAsia" w:eastAsia="仿宋_GB2312"/>
          <w:szCs w:val="21"/>
        </w:rPr>
        <w:t>，反应进度、标准摩尔焓变与Hess定律，一般化学反应的热化学计算，</w:t>
      </w:r>
      <w:r>
        <w:rPr>
          <w:rFonts w:eastAsia="仿宋_GB2312"/>
          <w:szCs w:val="21"/>
        </w:rPr>
        <w:t>多组分系统</w:t>
      </w:r>
      <w:r>
        <w:rPr>
          <w:rFonts w:hint="eastAsia" w:eastAsia="仿宋_GB2312"/>
          <w:szCs w:val="21"/>
        </w:rPr>
        <w:t>与</w:t>
      </w:r>
      <w:r>
        <w:rPr>
          <w:rFonts w:eastAsia="仿宋_GB2312"/>
          <w:szCs w:val="21"/>
        </w:rPr>
        <w:t>偏摩尔量、化学势等基本概念，混合物中任一组分化学势的表达方式与求算方法</w:t>
      </w:r>
      <w:r>
        <w:rPr>
          <w:rFonts w:hint="eastAsia" w:eastAsia="仿宋_GB2312"/>
          <w:szCs w:val="21"/>
        </w:rPr>
        <w:t>，</w:t>
      </w:r>
      <w:r>
        <w:rPr>
          <w:rFonts w:eastAsia="仿宋_GB2312"/>
          <w:szCs w:val="21"/>
        </w:rPr>
        <w:t>稀溶液的经验公式</w:t>
      </w:r>
      <w:r>
        <w:rPr>
          <w:rFonts w:hint="eastAsia" w:eastAsia="仿宋_GB2312"/>
          <w:szCs w:val="21"/>
        </w:rPr>
        <w:t>，</w:t>
      </w:r>
      <w:r>
        <w:rPr>
          <w:rFonts w:eastAsia="仿宋_GB2312"/>
          <w:szCs w:val="21"/>
        </w:rPr>
        <w:t>依数性</w:t>
      </w:r>
      <w:r>
        <w:rPr>
          <w:rFonts w:hint="eastAsia" w:eastAsia="仿宋_GB2312"/>
          <w:szCs w:val="21"/>
        </w:rPr>
        <w:t>的求算与应用</w:t>
      </w:r>
      <w:r>
        <w:rPr>
          <w:rFonts w:eastAsia="仿宋_GB2312"/>
          <w:szCs w:val="21"/>
        </w:rPr>
        <w:t>。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eastAsia="仿宋_GB2312"/>
          <w:b/>
          <w:szCs w:val="21"/>
        </w:rPr>
      </w:pPr>
      <w:r>
        <w:rPr>
          <w:rFonts w:eastAsia="仿宋_GB2312"/>
          <w:b/>
          <w:szCs w:val="21"/>
        </w:rPr>
        <w:t>3．</w:t>
      </w:r>
      <w:r>
        <w:rPr>
          <w:rFonts w:hint="eastAsia" w:eastAsia="仿宋_GB2312"/>
          <w:b/>
          <w:szCs w:val="21"/>
        </w:rPr>
        <w:t>相平衡</w:t>
      </w:r>
    </w:p>
    <w:p>
      <w:pPr>
        <w:snapToGrid w:val="0"/>
        <w:spacing w:before="156" w:beforeLines="50" w:after="156" w:afterLines="50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相平衡</w:t>
      </w:r>
      <w:r>
        <w:rPr>
          <w:rFonts w:hint="eastAsia" w:eastAsia="仿宋_GB2312"/>
          <w:szCs w:val="21"/>
        </w:rPr>
        <w:t>的</w:t>
      </w:r>
      <w:r>
        <w:rPr>
          <w:rFonts w:eastAsia="仿宋_GB2312"/>
          <w:szCs w:val="21"/>
        </w:rPr>
        <w:t>热力学基础，相律和杠杆定律的应用，</w:t>
      </w:r>
      <w:r>
        <w:rPr>
          <w:rFonts w:hint="eastAsia" w:eastAsia="仿宋_GB2312"/>
          <w:szCs w:val="21"/>
        </w:rPr>
        <w:t>单组分系统相平衡规律，</w:t>
      </w:r>
      <w:r>
        <w:rPr>
          <w:rFonts w:eastAsia="仿宋_GB2312"/>
          <w:szCs w:val="21"/>
        </w:rPr>
        <w:t>二</w:t>
      </w:r>
      <w:r>
        <w:rPr>
          <w:rFonts w:hint="eastAsia" w:eastAsia="仿宋_GB2312"/>
          <w:szCs w:val="21"/>
        </w:rPr>
        <w:t>组分系统</w:t>
      </w:r>
      <w:r>
        <w:rPr>
          <w:rFonts w:eastAsia="仿宋_GB2312"/>
          <w:szCs w:val="21"/>
        </w:rPr>
        <w:t>相图的基本特征。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eastAsia="仿宋_GB2312"/>
          <w:b/>
          <w:szCs w:val="21"/>
        </w:rPr>
      </w:pPr>
      <w:r>
        <w:rPr>
          <w:rFonts w:eastAsia="仿宋_GB2312"/>
          <w:b/>
          <w:szCs w:val="21"/>
        </w:rPr>
        <w:t>4．</w:t>
      </w:r>
      <w:r>
        <w:rPr>
          <w:rFonts w:hint="eastAsia" w:eastAsia="仿宋_GB2312"/>
          <w:b/>
          <w:szCs w:val="21"/>
        </w:rPr>
        <w:t>化学平衡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eastAsia="仿宋_GB2312"/>
          <w:szCs w:val="21"/>
        </w:rPr>
      </w:pPr>
      <w:r>
        <w:rPr>
          <w:rFonts w:eastAsia="仿宋_GB2312"/>
          <w:szCs w:val="21"/>
        </w:rPr>
        <w:t xml:space="preserve"> </w:t>
      </w:r>
      <w:r>
        <w:rPr>
          <w:rFonts w:hint="eastAsia" w:eastAsia="仿宋_GB2312"/>
          <w:szCs w:val="21"/>
        </w:rPr>
        <w:t>热力学平衡常数及其不同表达形式，平衡常数的计算及其与Gibbs自由能的关系，温度、压力、惰性气体对平衡常数及化学平衡的影响分析。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eastAsia="仿宋_GB2312"/>
          <w:b/>
          <w:szCs w:val="21"/>
        </w:rPr>
      </w:pPr>
      <w:r>
        <w:rPr>
          <w:rFonts w:eastAsia="仿宋_GB2312"/>
          <w:b/>
          <w:szCs w:val="21"/>
        </w:rPr>
        <w:t>5．</w:t>
      </w:r>
      <w:r>
        <w:rPr>
          <w:rFonts w:hint="eastAsia" w:eastAsia="仿宋_GB2312"/>
          <w:b/>
          <w:szCs w:val="21"/>
        </w:rPr>
        <w:t>电化学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eastAsia="仿宋_GB2312"/>
          <w:szCs w:val="21"/>
        </w:rPr>
      </w:pPr>
      <w:r>
        <w:rPr>
          <w:rFonts w:eastAsia="仿宋_GB2312"/>
          <w:szCs w:val="21"/>
        </w:rPr>
        <w:t>原电池</w:t>
      </w:r>
      <w:r>
        <w:rPr>
          <w:rFonts w:hint="eastAsia" w:eastAsia="仿宋_GB2312"/>
          <w:szCs w:val="21"/>
        </w:rPr>
        <w:t>、</w:t>
      </w:r>
      <w:r>
        <w:rPr>
          <w:rFonts w:eastAsia="仿宋_GB2312"/>
          <w:szCs w:val="21"/>
        </w:rPr>
        <w:t>电解池</w:t>
      </w:r>
      <w:r>
        <w:rPr>
          <w:rFonts w:hint="eastAsia" w:eastAsia="仿宋_GB2312"/>
          <w:szCs w:val="21"/>
        </w:rPr>
        <w:t>、电导、电导率、可逆电池等</w:t>
      </w:r>
      <w:r>
        <w:rPr>
          <w:rFonts w:eastAsia="仿宋_GB2312"/>
          <w:szCs w:val="21"/>
        </w:rPr>
        <w:t>基本概念</w:t>
      </w:r>
      <w:r>
        <w:rPr>
          <w:rFonts w:hint="eastAsia" w:eastAsia="仿宋_GB2312"/>
          <w:szCs w:val="21"/>
        </w:rPr>
        <w:t>，强电解质溶液理论</w:t>
      </w:r>
      <w:r>
        <w:rPr>
          <w:rFonts w:eastAsia="仿宋_GB2312"/>
          <w:szCs w:val="21"/>
        </w:rPr>
        <w:t>，离子电迁移</w:t>
      </w:r>
      <w:r>
        <w:rPr>
          <w:rFonts w:hint="eastAsia" w:eastAsia="仿宋_GB2312"/>
          <w:szCs w:val="21"/>
        </w:rPr>
        <w:t>率、迁移数、</w:t>
      </w:r>
      <w:r>
        <w:rPr>
          <w:rFonts w:eastAsia="仿宋_GB2312"/>
          <w:szCs w:val="21"/>
        </w:rPr>
        <w:t>电导率的</w:t>
      </w:r>
      <w:r>
        <w:rPr>
          <w:rFonts w:hint="eastAsia" w:eastAsia="仿宋_GB2312"/>
          <w:szCs w:val="21"/>
        </w:rPr>
        <w:t>测算与应用，Nernst方程和可逆电池电动势的计算与应用，极化曲线、析出电势和电极上竞争反应的分析。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eastAsia="仿宋_GB2312"/>
          <w:b/>
          <w:szCs w:val="21"/>
        </w:rPr>
      </w:pPr>
      <w:r>
        <w:rPr>
          <w:rFonts w:eastAsia="仿宋_GB2312"/>
          <w:b/>
          <w:szCs w:val="21"/>
        </w:rPr>
        <w:t>6.</w:t>
      </w:r>
      <w:r>
        <w:rPr>
          <w:rFonts w:hint="eastAsia" w:eastAsia="仿宋_GB2312"/>
          <w:b/>
          <w:szCs w:val="21"/>
        </w:rPr>
        <w:t>动力学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eastAsia="仿宋_GB2312"/>
          <w:szCs w:val="21"/>
        </w:rPr>
      </w:pPr>
      <w:r>
        <w:rPr>
          <w:rFonts w:eastAsia="仿宋_GB2312"/>
          <w:szCs w:val="21"/>
        </w:rPr>
        <w:t>元反应、</w:t>
      </w:r>
      <w:r>
        <w:rPr>
          <w:rFonts w:hint="eastAsia" w:eastAsia="仿宋_GB2312"/>
          <w:szCs w:val="21"/>
        </w:rPr>
        <w:t>反应分子数、</w:t>
      </w:r>
      <w:r>
        <w:rPr>
          <w:rFonts w:eastAsia="仿宋_GB2312"/>
          <w:szCs w:val="21"/>
        </w:rPr>
        <w:t>反应速率、</w:t>
      </w:r>
      <w:r>
        <w:rPr>
          <w:rFonts w:hint="eastAsia" w:eastAsia="仿宋_GB2312"/>
          <w:szCs w:val="21"/>
        </w:rPr>
        <w:t>反应级数</w:t>
      </w:r>
      <w:r>
        <w:rPr>
          <w:rFonts w:eastAsia="仿宋_GB2312"/>
          <w:szCs w:val="21"/>
        </w:rPr>
        <w:t>等基本概念</w:t>
      </w:r>
      <w:r>
        <w:rPr>
          <w:rFonts w:hint="eastAsia" w:eastAsia="仿宋_GB2312"/>
          <w:szCs w:val="21"/>
        </w:rPr>
        <w:t>和元反应动力学基本理论，外部因素对反应速率的影响规律，</w:t>
      </w:r>
      <w:r>
        <w:rPr>
          <w:rFonts w:eastAsia="仿宋_GB2312"/>
          <w:szCs w:val="21"/>
        </w:rPr>
        <w:t>简单级数化学反应的</w:t>
      </w:r>
      <w:r>
        <w:rPr>
          <w:rFonts w:hint="eastAsia" w:eastAsia="仿宋_GB2312"/>
          <w:szCs w:val="21"/>
        </w:rPr>
        <w:t>特点与应用，</w:t>
      </w:r>
      <w:r>
        <w:rPr>
          <w:rFonts w:eastAsia="仿宋_GB2312"/>
          <w:szCs w:val="21"/>
        </w:rPr>
        <w:t>Arrhenius公式</w:t>
      </w:r>
      <w:r>
        <w:rPr>
          <w:rFonts w:hint="eastAsia" w:eastAsia="仿宋_GB2312"/>
          <w:szCs w:val="21"/>
        </w:rPr>
        <w:t>与</w:t>
      </w:r>
      <w:r>
        <w:rPr>
          <w:rFonts w:eastAsia="仿宋_GB2312"/>
          <w:szCs w:val="21"/>
        </w:rPr>
        <w:t>活化能</w:t>
      </w:r>
      <w:r>
        <w:rPr>
          <w:rFonts w:hint="eastAsia" w:eastAsia="仿宋_GB2312"/>
          <w:szCs w:val="21"/>
        </w:rPr>
        <w:t>/</w:t>
      </w:r>
      <w:r>
        <w:rPr>
          <w:rFonts w:eastAsia="仿宋_GB2312"/>
          <w:szCs w:val="21"/>
        </w:rPr>
        <w:t>指前因子的计算</w:t>
      </w:r>
      <w:r>
        <w:rPr>
          <w:rFonts w:hint="eastAsia" w:eastAsia="仿宋_GB2312"/>
          <w:szCs w:val="21"/>
        </w:rPr>
        <w:t>，对峙/平行/连续/链反应的特点与反应速率的计算。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eastAsia="仿宋_GB2312"/>
          <w:b/>
          <w:szCs w:val="21"/>
        </w:rPr>
      </w:pPr>
      <w:r>
        <w:rPr>
          <w:rFonts w:hint="eastAsia" w:eastAsia="仿宋_GB2312"/>
          <w:b/>
          <w:szCs w:val="21"/>
        </w:rPr>
        <w:t>7</w:t>
      </w:r>
      <w:r>
        <w:rPr>
          <w:rFonts w:eastAsia="仿宋_GB2312"/>
          <w:b/>
          <w:szCs w:val="21"/>
        </w:rPr>
        <w:t>.</w:t>
      </w:r>
      <w:r>
        <w:rPr>
          <w:rFonts w:hint="eastAsia" w:eastAsia="仿宋_GB2312"/>
          <w:b/>
          <w:szCs w:val="21"/>
        </w:rPr>
        <w:t>表面物理化学</w:t>
      </w:r>
    </w:p>
    <w:p>
      <w:pPr>
        <w:snapToGrid w:val="0"/>
        <w:spacing w:before="156" w:beforeLines="50" w:after="156" w:afterLines="50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表面功、表面能、表面张力等基本概念，Young-Laplace方程</w:t>
      </w:r>
      <w:r>
        <w:rPr>
          <w:rFonts w:hint="eastAsia" w:eastAsia="仿宋_GB2312"/>
          <w:szCs w:val="21"/>
        </w:rPr>
        <w:t>与</w:t>
      </w:r>
      <w:r>
        <w:rPr>
          <w:rFonts w:eastAsia="仿宋_GB2312"/>
          <w:szCs w:val="21"/>
        </w:rPr>
        <w:t>Kelvin方程</w:t>
      </w:r>
      <w:r>
        <w:rPr>
          <w:rFonts w:hint="eastAsia" w:eastAsia="仿宋_GB2312"/>
          <w:szCs w:val="21"/>
        </w:rPr>
        <w:t>的应用，Gibbs吸附公式与表面吸附量的计算，Langmuir吸附理论及其吸附方程的应用。</w:t>
      </w:r>
    </w:p>
    <w:p>
      <w:pPr>
        <w:snapToGrid w:val="0"/>
        <w:spacing w:before="156" w:beforeLines="50" w:after="156" w:afterLines="50"/>
        <w:outlineLvl w:val="0"/>
        <w:rPr>
          <w:rFonts w:eastAsia="黑体"/>
          <w:szCs w:val="21"/>
        </w:rPr>
      </w:pPr>
      <w:r>
        <w:rPr>
          <w:rFonts w:eastAsia="黑体"/>
          <w:szCs w:val="21"/>
        </w:rPr>
        <w:t>三、考试形式</w:t>
      </w:r>
    </w:p>
    <w:p>
      <w:pPr>
        <w:snapToGrid w:val="0"/>
        <w:spacing w:before="156" w:beforeLines="50" w:after="156" w:afterLines="50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考试形式为闭卷、笔试，考试时间为3小时，满分150分。</w:t>
      </w:r>
    </w:p>
    <w:p>
      <w:pPr>
        <w:snapToGrid w:val="0"/>
        <w:spacing w:before="156" w:beforeLines="50" w:after="156" w:afterLines="50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题型包括：填空题</w:t>
      </w:r>
      <w:r>
        <w:rPr>
          <w:rFonts w:hint="eastAsia" w:eastAsia="仿宋_GB2312"/>
          <w:szCs w:val="21"/>
        </w:rPr>
        <w:t>20分</w:t>
      </w:r>
      <w:r>
        <w:rPr>
          <w:rFonts w:eastAsia="仿宋_GB2312"/>
          <w:szCs w:val="21"/>
        </w:rPr>
        <w:t>、选择题</w:t>
      </w:r>
      <w:r>
        <w:rPr>
          <w:rFonts w:hint="eastAsia" w:eastAsia="仿宋_GB2312"/>
          <w:szCs w:val="21"/>
        </w:rPr>
        <w:t>15分</w:t>
      </w:r>
      <w:r>
        <w:rPr>
          <w:rFonts w:eastAsia="仿宋_GB2312"/>
          <w:szCs w:val="21"/>
        </w:rPr>
        <w:t>、判断题</w:t>
      </w:r>
      <w:r>
        <w:rPr>
          <w:rFonts w:hint="eastAsia" w:eastAsia="仿宋_GB2312"/>
          <w:szCs w:val="21"/>
        </w:rPr>
        <w:t>10分</w:t>
      </w:r>
      <w:r>
        <w:rPr>
          <w:rFonts w:eastAsia="仿宋_GB2312"/>
          <w:szCs w:val="21"/>
        </w:rPr>
        <w:t>、简答题</w:t>
      </w:r>
      <w:r>
        <w:rPr>
          <w:rFonts w:hint="eastAsia" w:eastAsia="仿宋_GB2312"/>
          <w:szCs w:val="21"/>
        </w:rPr>
        <w:t>30分</w:t>
      </w:r>
      <w:r>
        <w:rPr>
          <w:rFonts w:eastAsia="仿宋_GB2312"/>
          <w:szCs w:val="21"/>
        </w:rPr>
        <w:t>、计算题</w:t>
      </w:r>
      <w:r>
        <w:rPr>
          <w:rFonts w:hint="eastAsia" w:eastAsia="仿宋_GB2312"/>
          <w:szCs w:val="21"/>
        </w:rPr>
        <w:t>40分、</w:t>
      </w:r>
      <w:r>
        <w:rPr>
          <w:rFonts w:hint="eastAsia" w:ascii="仿宋_GB2312" w:eastAsia="仿宋_GB2312"/>
          <w:szCs w:val="21"/>
        </w:rPr>
        <w:t>综合分析题35分</w:t>
      </w:r>
      <w:r>
        <w:rPr>
          <w:rFonts w:eastAsia="仿宋_GB2312"/>
          <w:szCs w:val="21"/>
        </w:rPr>
        <w:t>。</w:t>
      </w:r>
    </w:p>
    <w:p>
      <w:pPr>
        <w:snapToGrid w:val="0"/>
        <w:spacing w:before="156" w:beforeLines="50" w:after="156" w:afterLines="50"/>
        <w:outlineLvl w:val="0"/>
        <w:rPr>
          <w:rFonts w:eastAsia="黑体"/>
          <w:szCs w:val="21"/>
        </w:rPr>
      </w:pPr>
      <w:r>
        <w:rPr>
          <w:rFonts w:eastAsia="黑体"/>
          <w:szCs w:val="21"/>
        </w:rPr>
        <w:t>四、参考书目</w:t>
      </w:r>
    </w:p>
    <w:p>
      <w:pPr>
        <w:snapToGrid w:val="0"/>
        <w:spacing w:before="156" w:beforeLines="50" w:after="156" w:afterLines="50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1. 《物理化学》，傅献彩</w:t>
      </w:r>
      <w:r>
        <w:rPr>
          <w:rFonts w:hint="eastAsia" w:eastAsia="仿宋_GB2312"/>
          <w:szCs w:val="21"/>
          <w:lang w:eastAsia="zh-CN"/>
        </w:rPr>
        <w:t>，</w:t>
      </w:r>
      <w:r>
        <w:rPr>
          <w:rFonts w:eastAsia="仿宋_GB2312"/>
          <w:szCs w:val="21"/>
        </w:rPr>
        <w:t>沈文霞</w:t>
      </w:r>
      <w:r>
        <w:rPr>
          <w:rFonts w:hint="eastAsia" w:eastAsia="仿宋_GB2312"/>
          <w:szCs w:val="21"/>
          <w:lang w:eastAsia="zh-CN"/>
        </w:rPr>
        <w:t>，</w:t>
      </w:r>
      <w:r>
        <w:rPr>
          <w:rFonts w:eastAsia="仿宋_GB2312"/>
          <w:szCs w:val="21"/>
        </w:rPr>
        <w:t>姚天扬</w:t>
      </w:r>
      <w:r>
        <w:rPr>
          <w:rFonts w:hint="eastAsia" w:eastAsia="仿宋_GB2312"/>
          <w:szCs w:val="21"/>
          <w:lang w:eastAsia="zh-CN"/>
        </w:rPr>
        <w:t>，</w:t>
      </w:r>
      <w:r>
        <w:rPr>
          <w:rFonts w:eastAsia="仿宋_GB2312"/>
          <w:szCs w:val="21"/>
        </w:rPr>
        <w:t>侯文华，高等教育出版社， 2011年5月</w:t>
      </w:r>
      <w:r>
        <w:rPr>
          <w:rFonts w:hint="eastAsia" w:eastAsia="仿宋_GB2312"/>
          <w:szCs w:val="21"/>
          <w:lang w:eastAsia="zh-CN"/>
        </w:rPr>
        <w:t>，</w:t>
      </w:r>
      <w:r>
        <w:rPr>
          <w:rFonts w:eastAsia="仿宋_GB2312"/>
          <w:szCs w:val="21"/>
        </w:rPr>
        <w:t>第5版。</w:t>
      </w:r>
    </w:p>
    <w:sectPr>
      <w:footerReference r:id="rId3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2010601030101010101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C8"/>
    <w:rsid w:val="00000881"/>
    <w:rsid w:val="00006163"/>
    <w:rsid w:val="00007628"/>
    <w:rsid w:val="0001086B"/>
    <w:rsid w:val="00013888"/>
    <w:rsid w:val="00021D0A"/>
    <w:rsid w:val="000318E1"/>
    <w:rsid w:val="00032EA5"/>
    <w:rsid w:val="0003445D"/>
    <w:rsid w:val="000350DF"/>
    <w:rsid w:val="00035254"/>
    <w:rsid w:val="000525E8"/>
    <w:rsid w:val="00061447"/>
    <w:rsid w:val="00061BA6"/>
    <w:rsid w:val="00062553"/>
    <w:rsid w:val="0006410F"/>
    <w:rsid w:val="00065D7D"/>
    <w:rsid w:val="00066C97"/>
    <w:rsid w:val="00067AF9"/>
    <w:rsid w:val="00070C46"/>
    <w:rsid w:val="000725D9"/>
    <w:rsid w:val="000920C6"/>
    <w:rsid w:val="000976E5"/>
    <w:rsid w:val="000A0DF5"/>
    <w:rsid w:val="000B3966"/>
    <w:rsid w:val="000C588D"/>
    <w:rsid w:val="000D1A40"/>
    <w:rsid w:val="000D3B01"/>
    <w:rsid w:val="000E0DF3"/>
    <w:rsid w:val="000E3DCF"/>
    <w:rsid w:val="00102683"/>
    <w:rsid w:val="0010526A"/>
    <w:rsid w:val="0013772F"/>
    <w:rsid w:val="00140E98"/>
    <w:rsid w:val="00152A8F"/>
    <w:rsid w:val="00174355"/>
    <w:rsid w:val="0019053E"/>
    <w:rsid w:val="00190693"/>
    <w:rsid w:val="0019573A"/>
    <w:rsid w:val="001B2E82"/>
    <w:rsid w:val="001B66AE"/>
    <w:rsid w:val="001D6837"/>
    <w:rsid w:val="001F7B64"/>
    <w:rsid w:val="001F7D91"/>
    <w:rsid w:val="002277CB"/>
    <w:rsid w:val="00234866"/>
    <w:rsid w:val="00240DC1"/>
    <w:rsid w:val="002466A4"/>
    <w:rsid w:val="00247AAB"/>
    <w:rsid w:val="00250B75"/>
    <w:rsid w:val="0025118D"/>
    <w:rsid w:val="002641EC"/>
    <w:rsid w:val="00277866"/>
    <w:rsid w:val="002835B7"/>
    <w:rsid w:val="00296706"/>
    <w:rsid w:val="002A4C27"/>
    <w:rsid w:val="002B1B60"/>
    <w:rsid w:val="002B3C12"/>
    <w:rsid w:val="002E0470"/>
    <w:rsid w:val="002E0BD1"/>
    <w:rsid w:val="002E62B9"/>
    <w:rsid w:val="002F1181"/>
    <w:rsid w:val="003132D1"/>
    <w:rsid w:val="00330EF5"/>
    <w:rsid w:val="003362D6"/>
    <w:rsid w:val="0034225B"/>
    <w:rsid w:val="00350B22"/>
    <w:rsid w:val="003537B5"/>
    <w:rsid w:val="00354136"/>
    <w:rsid w:val="00361098"/>
    <w:rsid w:val="0036352A"/>
    <w:rsid w:val="00364998"/>
    <w:rsid w:val="00364F2A"/>
    <w:rsid w:val="003657E1"/>
    <w:rsid w:val="0039718E"/>
    <w:rsid w:val="003A0B92"/>
    <w:rsid w:val="003A5280"/>
    <w:rsid w:val="003A6A83"/>
    <w:rsid w:val="003B30B8"/>
    <w:rsid w:val="003B58EE"/>
    <w:rsid w:val="003C1768"/>
    <w:rsid w:val="003D6229"/>
    <w:rsid w:val="003F1791"/>
    <w:rsid w:val="003F6F29"/>
    <w:rsid w:val="00407BA6"/>
    <w:rsid w:val="00413C15"/>
    <w:rsid w:val="00433C3E"/>
    <w:rsid w:val="004352A7"/>
    <w:rsid w:val="00463439"/>
    <w:rsid w:val="00472195"/>
    <w:rsid w:val="00472959"/>
    <w:rsid w:val="00474D97"/>
    <w:rsid w:val="004C6766"/>
    <w:rsid w:val="004D0C26"/>
    <w:rsid w:val="004D2C35"/>
    <w:rsid w:val="004D3FC7"/>
    <w:rsid w:val="004D7689"/>
    <w:rsid w:val="004D7CAE"/>
    <w:rsid w:val="004F5169"/>
    <w:rsid w:val="005000BD"/>
    <w:rsid w:val="005007E5"/>
    <w:rsid w:val="00510D2F"/>
    <w:rsid w:val="005410D7"/>
    <w:rsid w:val="00557A91"/>
    <w:rsid w:val="0056235B"/>
    <w:rsid w:val="00595DF7"/>
    <w:rsid w:val="00596D08"/>
    <w:rsid w:val="005A0EDC"/>
    <w:rsid w:val="005A6565"/>
    <w:rsid w:val="005B4E2C"/>
    <w:rsid w:val="005C026E"/>
    <w:rsid w:val="005C192B"/>
    <w:rsid w:val="005C70C3"/>
    <w:rsid w:val="005C7481"/>
    <w:rsid w:val="005D1361"/>
    <w:rsid w:val="0060528A"/>
    <w:rsid w:val="00613741"/>
    <w:rsid w:val="00616FAB"/>
    <w:rsid w:val="00624E51"/>
    <w:rsid w:val="0062781E"/>
    <w:rsid w:val="00636EB8"/>
    <w:rsid w:val="00654823"/>
    <w:rsid w:val="00660297"/>
    <w:rsid w:val="00664C6F"/>
    <w:rsid w:val="00681B64"/>
    <w:rsid w:val="00682BA4"/>
    <w:rsid w:val="006A275B"/>
    <w:rsid w:val="006D2672"/>
    <w:rsid w:val="006D74D6"/>
    <w:rsid w:val="006E688E"/>
    <w:rsid w:val="00705252"/>
    <w:rsid w:val="00713390"/>
    <w:rsid w:val="007178A8"/>
    <w:rsid w:val="00724072"/>
    <w:rsid w:val="007249D0"/>
    <w:rsid w:val="00744836"/>
    <w:rsid w:val="007715D0"/>
    <w:rsid w:val="00773B00"/>
    <w:rsid w:val="007916E9"/>
    <w:rsid w:val="00791D7E"/>
    <w:rsid w:val="00796DED"/>
    <w:rsid w:val="007A198E"/>
    <w:rsid w:val="007C3B43"/>
    <w:rsid w:val="007C411E"/>
    <w:rsid w:val="007C6E43"/>
    <w:rsid w:val="007E1660"/>
    <w:rsid w:val="007E3BB0"/>
    <w:rsid w:val="00802FC8"/>
    <w:rsid w:val="00803DBE"/>
    <w:rsid w:val="0080615A"/>
    <w:rsid w:val="0081303F"/>
    <w:rsid w:val="00816DAD"/>
    <w:rsid w:val="00836584"/>
    <w:rsid w:val="00845735"/>
    <w:rsid w:val="008636C9"/>
    <w:rsid w:val="00865FE4"/>
    <w:rsid w:val="00877C56"/>
    <w:rsid w:val="008A0311"/>
    <w:rsid w:val="008A3B72"/>
    <w:rsid w:val="008A5301"/>
    <w:rsid w:val="008C1433"/>
    <w:rsid w:val="008D03D5"/>
    <w:rsid w:val="008E31B7"/>
    <w:rsid w:val="008F4F10"/>
    <w:rsid w:val="00900BE5"/>
    <w:rsid w:val="00904AB8"/>
    <w:rsid w:val="009151E8"/>
    <w:rsid w:val="0092379A"/>
    <w:rsid w:val="00926362"/>
    <w:rsid w:val="00941878"/>
    <w:rsid w:val="00956FC5"/>
    <w:rsid w:val="00957693"/>
    <w:rsid w:val="009816DE"/>
    <w:rsid w:val="00984D44"/>
    <w:rsid w:val="009979D5"/>
    <w:rsid w:val="009C0487"/>
    <w:rsid w:val="009C2C49"/>
    <w:rsid w:val="009D7481"/>
    <w:rsid w:val="009E03E0"/>
    <w:rsid w:val="00A000B7"/>
    <w:rsid w:val="00A0313A"/>
    <w:rsid w:val="00A05C70"/>
    <w:rsid w:val="00A10BCE"/>
    <w:rsid w:val="00A14CC2"/>
    <w:rsid w:val="00A221BB"/>
    <w:rsid w:val="00A2595F"/>
    <w:rsid w:val="00A32E1D"/>
    <w:rsid w:val="00A82B55"/>
    <w:rsid w:val="00A83529"/>
    <w:rsid w:val="00A845CE"/>
    <w:rsid w:val="00A90843"/>
    <w:rsid w:val="00AA79F4"/>
    <w:rsid w:val="00AB6463"/>
    <w:rsid w:val="00AC1BD3"/>
    <w:rsid w:val="00AE1649"/>
    <w:rsid w:val="00AF163E"/>
    <w:rsid w:val="00B04615"/>
    <w:rsid w:val="00B10C64"/>
    <w:rsid w:val="00B214D3"/>
    <w:rsid w:val="00B32077"/>
    <w:rsid w:val="00B36A07"/>
    <w:rsid w:val="00B506B4"/>
    <w:rsid w:val="00B65895"/>
    <w:rsid w:val="00B811D0"/>
    <w:rsid w:val="00B85E41"/>
    <w:rsid w:val="00BA2696"/>
    <w:rsid w:val="00BA5AB3"/>
    <w:rsid w:val="00BB718A"/>
    <w:rsid w:val="00BC183E"/>
    <w:rsid w:val="00BC7523"/>
    <w:rsid w:val="00BD26D5"/>
    <w:rsid w:val="00BD2A61"/>
    <w:rsid w:val="00BD56F0"/>
    <w:rsid w:val="00BE51A3"/>
    <w:rsid w:val="00BE64E5"/>
    <w:rsid w:val="00C015BB"/>
    <w:rsid w:val="00C02176"/>
    <w:rsid w:val="00C04E10"/>
    <w:rsid w:val="00C24130"/>
    <w:rsid w:val="00C37B27"/>
    <w:rsid w:val="00C40B8C"/>
    <w:rsid w:val="00C452B0"/>
    <w:rsid w:val="00C51873"/>
    <w:rsid w:val="00C7274B"/>
    <w:rsid w:val="00C868C6"/>
    <w:rsid w:val="00C86A21"/>
    <w:rsid w:val="00C86C04"/>
    <w:rsid w:val="00C8727B"/>
    <w:rsid w:val="00CA0C35"/>
    <w:rsid w:val="00CA59E6"/>
    <w:rsid w:val="00CB147C"/>
    <w:rsid w:val="00CC3FE9"/>
    <w:rsid w:val="00CD5BAA"/>
    <w:rsid w:val="00CE2A1E"/>
    <w:rsid w:val="00D000F9"/>
    <w:rsid w:val="00D01169"/>
    <w:rsid w:val="00D162F4"/>
    <w:rsid w:val="00D43855"/>
    <w:rsid w:val="00D44023"/>
    <w:rsid w:val="00D44AF7"/>
    <w:rsid w:val="00D542ED"/>
    <w:rsid w:val="00D624C6"/>
    <w:rsid w:val="00D6584B"/>
    <w:rsid w:val="00D737F4"/>
    <w:rsid w:val="00D94E62"/>
    <w:rsid w:val="00DB7534"/>
    <w:rsid w:val="00DC1523"/>
    <w:rsid w:val="00DD4A27"/>
    <w:rsid w:val="00DE31B8"/>
    <w:rsid w:val="00E02E4C"/>
    <w:rsid w:val="00E10AEF"/>
    <w:rsid w:val="00E31CFC"/>
    <w:rsid w:val="00E36852"/>
    <w:rsid w:val="00E47185"/>
    <w:rsid w:val="00E556DF"/>
    <w:rsid w:val="00E568C4"/>
    <w:rsid w:val="00E57991"/>
    <w:rsid w:val="00E6387F"/>
    <w:rsid w:val="00E84605"/>
    <w:rsid w:val="00E96D4F"/>
    <w:rsid w:val="00EB192A"/>
    <w:rsid w:val="00EB4227"/>
    <w:rsid w:val="00EC4089"/>
    <w:rsid w:val="00ED07AF"/>
    <w:rsid w:val="00ED4673"/>
    <w:rsid w:val="00EF107A"/>
    <w:rsid w:val="00EF2654"/>
    <w:rsid w:val="00F1092B"/>
    <w:rsid w:val="00F3398B"/>
    <w:rsid w:val="00F56649"/>
    <w:rsid w:val="00F610ED"/>
    <w:rsid w:val="00F70733"/>
    <w:rsid w:val="00F84FF5"/>
    <w:rsid w:val="00F95C13"/>
    <w:rsid w:val="00FC15F2"/>
    <w:rsid w:val="00FC1612"/>
    <w:rsid w:val="00FC3D7F"/>
    <w:rsid w:val="00FD0B6A"/>
    <w:rsid w:val="00FE112C"/>
    <w:rsid w:val="00FE3424"/>
    <w:rsid w:val="00FF6EF6"/>
    <w:rsid w:val="149B3453"/>
    <w:rsid w:val="15E000B3"/>
    <w:rsid w:val="165D6469"/>
    <w:rsid w:val="1CE209FE"/>
    <w:rsid w:val="4A1859B5"/>
    <w:rsid w:val="5D61450A"/>
    <w:rsid w:val="71C81216"/>
    <w:rsid w:val="736D64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uiPriority w:val="0"/>
    <w:rPr>
      <w:color w:val="000000"/>
      <w:u w:val="none"/>
    </w:rPr>
  </w:style>
  <w:style w:type="character" w:customStyle="1" w:styleId="10">
    <w:name w:val="批注框文本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144</Words>
  <Characters>824</Characters>
  <Lines>6</Lines>
  <Paragraphs>1</Paragraphs>
  <TotalTime>0</TotalTime>
  <ScaleCrop>false</ScaleCrop>
  <LinksUpToDate>false</LinksUpToDate>
  <CharactersWithSpaces>967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2020-07-26T00:28:00Z</dcterms:created>
  <dc:creator>微软用户</dc:creator>
  <cp:lastModifiedBy>Administrator</cp:lastModifiedBy>
  <cp:lastPrinted>2014-05-13T23:59:00Z</cp:lastPrinted>
  <dcterms:modified xsi:type="dcterms:W3CDTF">2021-08-26T02:51:34Z</dcterms:modified>
  <dc:title>关于编制2014年硕士研究生入学考试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