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天津工业大学硕士研究生业务课考试大纲</w:t>
      </w:r>
      <w:r>
        <w:rPr>
          <w:rFonts w:hint="eastAsia"/>
          <w:b/>
          <w:bCs/>
          <w:color w:val="000000"/>
          <w:sz w:val="24"/>
        </w:rPr>
        <w:t>（20</w:t>
      </w:r>
      <w:r>
        <w:rPr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最新修订）</w:t>
      </w:r>
    </w:p>
    <w:p/>
    <w:p>
      <w:pPr>
        <w:rPr>
          <w:rFonts w:hint="eastAsia"/>
        </w:rPr>
      </w:pPr>
      <w:r>
        <w:rPr>
          <w:rFonts w:hint="eastAsia"/>
        </w:rPr>
        <w:t>课程编号：621                                           课程名称：公共管理学</w:t>
      </w:r>
    </w:p>
    <w:p>
      <w:pPr>
        <w:autoSpaceDE w:val="0"/>
        <w:autoSpaceDN w:val="0"/>
        <w:adjustRightInd w:val="0"/>
        <w:ind w:firstLine="435"/>
        <w:outlineLvl w:val="0"/>
        <w:rPr>
          <w:rFonts w:ascii="宋体"/>
          <w:b/>
          <w:lang w:val="zh-CN"/>
        </w:rPr>
      </w:pPr>
      <w:r>
        <w:rPr>
          <w:rFonts w:hint="eastAsia" w:ascii="宋体"/>
          <w:b/>
          <w:lang w:val="zh-CN"/>
        </w:rPr>
        <w:t>一、考试的总体要求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掌握公共管理学的基本概念、原理；学会运用公共管理学的基本原理分析现实中公共管理的问题；学会运用公共管理研究方法研究现实中公共管理问题。</w:t>
      </w:r>
    </w:p>
    <w:p>
      <w:pPr>
        <w:autoSpaceDE w:val="0"/>
        <w:autoSpaceDN w:val="0"/>
        <w:adjustRightInd w:val="0"/>
        <w:ind w:firstLine="435"/>
        <w:outlineLvl w:val="0"/>
        <w:rPr>
          <w:rFonts w:ascii="宋体"/>
          <w:b/>
          <w:lang w:val="zh-CN"/>
        </w:rPr>
      </w:pPr>
      <w:r>
        <w:rPr>
          <w:rFonts w:hint="eastAsia" w:ascii="宋体"/>
          <w:b/>
          <w:lang w:val="zh-CN"/>
        </w:rPr>
        <w:t>二、考试内容及比例</w:t>
      </w:r>
    </w:p>
    <w:p>
      <w:pPr>
        <w:autoSpaceDE w:val="0"/>
        <w:autoSpaceDN w:val="0"/>
        <w:adjustRightInd w:val="0"/>
        <w:ind w:firstLine="435"/>
        <w:rPr>
          <w:rFonts w:ascii="宋体"/>
          <w:b/>
          <w:lang w:val="zh-CN"/>
        </w:rPr>
      </w:pPr>
      <w:r>
        <w:rPr>
          <w:rFonts w:hint="eastAsia" w:ascii="宋体"/>
          <w:lang w:val="zh-CN"/>
        </w:rPr>
        <w:t>基本概念原理题约</w:t>
      </w:r>
      <w:r>
        <w:rPr>
          <w:rFonts w:ascii="宋体"/>
          <w:lang w:val="zh-CN"/>
        </w:rPr>
        <w:t>6</w:t>
      </w:r>
      <w:r>
        <w:rPr>
          <w:rFonts w:hint="eastAsia" w:ascii="宋体"/>
          <w:lang w:val="zh-CN"/>
        </w:rPr>
        <w:t>0分，运用原理分析现实问题的题目约</w:t>
      </w:r>
      <w:r>
        <w:rPr>
          <w:rFonts w:ascii="宋体"/>
          <w:lang w:val="zh-CN"/>
        </w:rPr>
        <w:t>9</w:t>
      </w:r>
      <w:r>
        <w:rPr>
          <w:rFonts w:hint="eastAsia" w:ascii="宋体"/>
          <w:lang w:val="zh-CN"/>
        </w:rPr>
        <w:t>0分。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1. 公共管理及其性质、发展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2. 公共管理的特质及与私人部门管理的区别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3. 公共组织的性质、结构及其变革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4. 公共领导体制、方法和能力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5. 公共政策过程、分析和发展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6. 公共人力资源的基本理论、公共人力资源管理的主要内容及公共人力资源管理制度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7. 公共预算的基本理论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8. 公共信息资源管理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9. 公共危机管理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10.公共管理新方法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1</w:t>
      </w:r>
      <w:r>
        <w:rPr>
          <w:rFonts w:ascii="宋体"/>
          <w:lang w:val="zh-CN"/>
        </w:rPr>
        <w:t>1.</w:t>
      </w:r>
      <w:r>
        <w:rPr>
          <w:rFonts w:hint="eastAsia" w:ascii="宋体"/>
          <w:lang w:val="zh-CN"/>
        </w:rPr>
        <w:t>公共战略管理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1</w:t>
      </w:r>
      <w:r>
        <w:rPr>
          <w:rFonts w:ascii="宋体"/>
          <w:lang w:val="zh-CN"/>
        </w:rPr>
        <w:t>2</w:t>
      </w:r>
      <w:r>
        <w:rPr>
          <w:rFonts w:hint="eastAsia" w:ascii="宋体"/>
          <w:lang w:val="zh-CN"/>
        </w:rPr>
        <w:t>.公共管理规范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1</w:t>
      </w:r>
      <w:r>
        <w:rPr>
          <w:rFonts w:ascii="宋体"/>
          <w:lang w:val="zh-CN"/>
        </w:rPr>
        <w:t>3</w:t>
      </w:r>
      <w:r>
        <w:rPr>
          <w:rFonts w:hint="eastAsia" w:ascii="宋体"/>
          <w:lang w:val="zh-CN"/>
        </w:rPr>
        <w:t>.公共部门绩效评估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1</w:t>
      </w:r>
      <w:r>
        <w:rPr>
          <w:rFonts w:ascii="宋体"/>
          <w:lang w:val="zh-CN"/>
        </w:rPr>
        <w:t>4</w:t>
      </w:r>
      <w:r>
        <w:rPr>
          <w:rFonts w:hint="eastAsia" w:ascii="宋体"/>
          <w:lang w:val="zh-CN"/>
        </w:rPr>
        <w:t>.公共部门改革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1</w:t>
      </w:r>
      <w:r>
        <w:rPr>
          <w:rFonts w:ascii="宋体"/>
          <w:lang w:val="zh-CN"/>
        </w:rPr>
        <w:t>5</w:t>
      </w:r>
      <w:r>
        <w:rPr>
          <w:rFonts w:hint="eastAsia" w:ascii="宋体"/>
          <w:lang w:val="zh-CN"/>
        </w:rPr>
        <w:t>.公共管理途径和研究方法</w:t>
      </w:r>
    </w:p>
    <w:p>
      <w:pPr>
        <w:autoSpaceDE w:val="0"/>
        <w:autoSpaceDN w:val="0"/>
        <w:adjustRightInd w:val="0"/>
        <w:ind w:firstLine="435"/>
        <w:outlineLvl w:val="0"/>
        <w:rPr>
          <w:rFonts w:ascii="宋体"/>
          <w:b/>
          <w:lang w:val="zh-CN"/>
        </w:rPr>
      </w:pPr>
      <w:r>
        <w:rPr>
          <w:rFonts w:hint="eastAsia" w:ascii="宋体"/>
          <w:b/>
          <w:lang w:val="zh-CN"/>
        </w:rPr>
        <w:t>三、试卷的题型及比例</w:t>
      </w:r>
    </w:p>
    <w:p>
      <w:pPr>
        <w:autoSpaceDE w:val="0"/>
        <w:autoSpaceDN w:val="0"/>
        <w:adjustRightInd w:val="0"/>
        <w:ind w:firstLine="435"/>
        <w:rPr>
          <w:rFonts w:hint="eastAsia" w:ascii="宋体"/>
          <w:lang w:val="zh-CN"/>
        </w:rPr>
      </w:pPr>
      <w:r>
        <w:rPr>
          <w:rFonts w:ascii="宋体"/>
          <w:lang w:val="zh-CN"/>
        </w:rPr>
        <w:t>1</w:t>
      </w:r>
      <w:r>
        <w:rPr>
          <w:rFonts w:hint="eastAsia" w:ascii="宋体"/>
          <w:lang w:val="zh-CN"/>
        </w:rPr>
        <w:t>、简答题  40-50%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2、论述题  50-60%</w:t>
      </w:r>
    </w:p>
    <w:p>
      <w:pPr>
        <w:autoSpaceDE w:val="0"/>
        <w:autoSpaceDN w:val="0"/>
        <w:adjustRightInd w:val="0"/>
        <w:ind w:firstLine="435"/>
        <w:outlineLvl w:val="0"/>
        <w:rPr>
          <w:rFonts w:ascii="宋体"/>
          <w:b/>
          <w:lang w:val="zh-CN"/>
        </w:rPr>
      </w:pPr>
      <w:r>
        <w:rPr>
          <w:rFonts w:hint="eastAsia" w:ascii="宋体"/>
          <w:b/>
          <w:lang w:val="zh-CN"/>
        </w:rPr>
        <w:t>四、考试形式及时间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考试形式为笔试，时间为3小时。</w:t>
      </w:r>
    </w:p>
    <w:p>
      <w:pPr>
        <w:autoSpaceDE w:val="0"/>
        <w:autoSpaceDN w:val="0"/>
        <w:adjustRightInd w:val="0"/>
        <w:ind w:firstLine="435"/>
        <w:outlineLvl w:val="0"/>
        <w:rPr>
          <w:rFonts w:ascii="宋体"/>
          <w:b/>
          <w:lang w:val="zh-CN"/>
        </w:rPr>
      </w:pPr>
      <w:r>
        <w:rPr>
          <w:rFonts w:hint="eastAsia" w:ascii="宋体"/>
          <w:b/>
          <w:lang w:val="zh-CN"/>
        </w:rPr>
        <w:t>五、主要参考教材</w:t>
      </w:r>
    </w:p>
    <w:p>
      <w:pPr>
        <w:autoSpaceDE w:val="0"/>
        <w:autoSpaceDN w:val="0"/>
        <w:adjustRightInd w:val="0"/>
        <w:ind w:firstLine="435"/>
        <w:rPr>
          <w:rFonts w:ascii="宋体"/>
          <w:lang w:val="zh-CN"/>
        </w:rPr>
      </w:pPr>
      <w:r>
        <w:rPr>
          <w:rFonts w:hint="eastAsia" w:ascii="宋体"/>
          <w:lang w:val="zh-CN"/>
        </w:rPr>
        <w:t>蔡立辉、王乐夫主编，《公共管理学》（第二版），中国人民大学出版社，2018。</w:t>
      </w:r>
    </w:p>
    <w:p>
      <w:pPr>
        <w:autoSpaceDE w:val="0"/>
        <w:autoSpaceDN w:val="0"/>
        <w:adjustRightInd w:val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74"/>
    <w:rsid w:val="00004D5E"/>
    <w:rsid w:val="00017073"/>
    <w:rsid w:val="00021D75"/>
    <w:rsid w:val="000239CB"/>
    <w:rsid w:val="000368DF"/>
    <w:rsid w:val="00042220"/>
    <w:rsid w:val="00057655"/>
    <w:rsid w:val="00063D53"/>
    <w:rsid w:val="00065688"/>
    <w:rsid w:val="00084BED"/>
    <w:rsid w:val="000A2950"/>
    <w:rsid w:val="000E67ED"/>
    <w:rsid w:val="000E6B01"/>
    <w:rsid w:val="000F137A"/>
    <w:rsid w:val="000F6DA1"/>
    <w:rsid w:val="00143E1B"/>
    <w:rsid w:val="00144F7C"/>
    <w:rsid w:val="0015254E"/>
    <w:rsid w:val="001561B2"/>
    <w:rsid w:val="00156E49"/>
    <w:rsid w:val="001652A0"/>
    <w:rsid w:val="001775A1"/>
    <w:rsid w:val="00184F6F"/>
    <w:rsid w:val="00200B7F"/>
    <w:rsid w:val="00201D53"/>
    <w:rsid w:val="0022177A"/>
    <w:rsid w:val="0024115A"/>
    <w:rsid w:val="002602AA"/>
    <w:rsid w:val="00262144"/>
    <w:rsid w:val="002754EE"/>
    <w:rsid w:val="0029251D"/>
    <w:rsid w:val="002A0301"/>
    <w:rsid w:val="002B32BC"/>
    <w:rsid w:val="002B5112"/>
    <w:rsid w:val="002C5A8B"/>
    <w:rsid w:val="002F3218"/>
    <w:rsid w:val="00341AAA"/>
    <w:rsid w:val="00375E03"/>
    <w:rsid w:val="00397005"/>
    <w:rsid w:val="003B1637"/>
    <w:rsid w:val="003B1CBC"/>
    <w:rsid w:val="003C4922"/>
    <w:rsid w:val="0046124D"/>
    <w:rsid w:val="0047315D"/>
    <w:rsid w:val="004773E0"/>
    <w:rsid w:val="00477542"/>
    <w:rsid w:val="00480629"/>
    <w:rsid w:val="00491115"/>
    <w:rsid w:val="00495B1C"/>
    <w:rsid w:val="004A499F"/>
    <w:rsid w:val="004B2748"/>
    <w:rsid w:val="004D5E84"/>
    <w:rsid w:val="004E4860"/>
    <w:rsid w:val="005106F7"/>
    <w:rsid w:val="00525DAB"/>
    <w:rsid w:val="00531DF9"/>
    <w:rsid w:val="0055719C"/>
    <w:rsid w:val="005728EB"/>
    <w:rsid w:val="00573EBB"/>
    <w:rsid w:val="00574634"/>
    <w:rsid w:val="00576724"/>
    <w:rsid w:val="005D2218"/>
    <w:rsid w:val="005F1080"/>
    <w:rsid w:val="005F58D8"/>
    <w:rsid w:val="005F76BE"/>
    <w:rsid w:val="00635722"/>
    <w:rsid w:val="00687BBE"/>
    <w:rsid w:val="00694831"/>
    <w:rsid w:val="006B2634"/>
    <w:rsid w:val="006C2EB6"/>
    <w:rsid w:val="006C4A83"/>
    <w:rsid w:val="006D1DB4"/>
    <w:rsid w:val="006D349E"/>
    <w:rsid w:val="006F4C2B"/>
    <w:rsid w:val="00724B4B"/>
    <w:rsid w:val="00726E52"/>
    <w:rsid w:val="00735E66"/>
    <w:rsid w:val="00736B8B"/>
    <w:rsid w:val="00751772"/>
    <w:rsid w:val="007B1E49"/>
    <w:rsid w:val="007F51BC"/>
    <w:rsid w:val="00805FF3"/>
    <w:rsid w:val="00814E05"/>
    <w:rsid w:val="008224FB"/>
    <w:rsid w:val="00823476"/>
    <w:rsid w:val="00826381"/>
    <w:rsid w:val="008409F6"/>
    <w:rsid w:val="008437F7"/>
    <w:rsid w:val="00845AF4"/>
    <w:rsid w:val="008652C7"/>
    <w:rsid w:val="00875FD2"/>
    <w:rsid w:val="00892152"/>
    <w:rsid w:val="008A2BB4"/>
    <w:rsid w:val="008C3A17"/>
    <w:rsid w:val="008E7E12"/>
    <w:rsid w:val="009019B8"/>
    <w:rsid w:val="00905B4E"/>
    <w:rsid w:val="00907F81"/>
    <w:rsid w:val="009213DB"/>
    <w:rsid w:val="009320BC"/>
    <w:rsid w:val="00933A8D"/>
    <w:rsid w:val="009B78ED"/>
    <w:rsid w:val="009E6A93"/>
    <w:rsid w:val="00A04137"/>
    <w:rsid w:val="00A20F6D"/>
    <w:rsid w:val="00A3403C"/>
    <w:rsid w:val="00A44568"/>
    <w:rsid w:val="00A62EC6"/>
    <w:rsid w:val="00A705E1"/>
    <w:rsid w:val="00A821C5"/>
    <w:rsid w:val="00A9580D"/>
    <w:rsid w:val="00AC7574"/>
    <w:rsid w:val="00AE6801"/>
    <w:rsid w:val="00B005B7"/>
    <w:rsid w:val="00B239EA"/>
    <w:rsid w:val="00B43D65"/>
    <w:rsid w:val="00BB27BC"/>
    <w:rsid w:val="00BC19CF"/>
    <w:rsid w:val="00BD4A4E"/>
    <w:rsid w:val="00BE3A55"/>
    <w:rsid w:val="00BE3DF0"/>
    <w:rsid w:val="00C01484"/>
    <w:rsid w:val="00C61CB9"/>
    <w:rsid w:val="00C72B15"/>
    <w:rsid w:val="00C803BD"/>
    <w:rsid w:val="00C96DF8"/>
    <w:rsid w:val="00CB4F70"/>
    <w:rsid w:val="00CF72B8"/>
    <w:rsid w:val="00D3009C"/>
    <w:rsid w:val="00D51860"/>
    <w:rsid w:val="00D72D10"/>
    <w:rsid w:val="00D8151E"/>
    <w:rsid w:val="00D82BAC"/>
    <w:rsid w:val="00D83A3E"/>
    <w:rsid w:val="00D93918"/>
    <w:rsid w:val="00DB442C"/>
    <w:rsid w:val="00DC5C84"/>
    <w:rsid w:val="00DD5E5C"/>
    <w:rsid w:val="00E12190"/>
    <w:rsid w:val="00E15533"/>
    <w:rsid w:val="00E5497B"/>
    <w:rsid w:val="00E655B7"/>
    <w:rsid w:val="00E67A71"/>
    <w:rsid w:val="00E7447A"/>
    <w:rsid w:val="00E752D4"/>
    <w:rsid w:val="00EA2D15"/>
    <w:rsid w:val="00EC727E"/>
    <w:rsid w:val="00ED365F"/>
    <w:rsid w:val="00EE3692"/>
    <w:rsid w:val="00EF143E"/>
    <w:rsid w:val="00F018A8"/>
    <w:rsid w:val="00F01C1A"/>
    <w:rsid w:val="00F075CC"/>
    <w:rsid w:val="00F102B4"/>
    <w:rsid w:val="00F178CE"/>
    <w:rsid w:val="00F210FD"/>
    <w:rsid w:val="00F23912"/>
    <w:rsid w:val="00F24F66"/>
    <w:rsid w:val="00F26219"/>
    <w:rsid w:val="00F47455"/>
    <w:rsid w:val="00F54644"/>
    <w:rsid w:val="00F662FA"/>
    <w:rsid w:val="00F73F7B"/>
    <w:rsid w:val="00F866A9"/>
    <w:rsid w:val="00F96A57"/>
    <w:rsid w:val="00FA485C"/>
    <w:rsid w:val="00FC60D2"/>
    <w:rsid w:val="00FE2C28"/>
    <w:rsid w:val="07245925"/>
    <w:rsid w:val="0AB45949"/>
    <w:rsid w:val="2F0319BC"/>
    <w:rsid w:val="38736DF1"/>
    <w:rsid w:val="39F60D9F"/>
    <w:rsid w:val="7F413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2019-09-06T00:58:00Z</dcterms:created>
  <dc:creator>user</dc:creator>
  <cp:lastModifiedBy>Administrator</cp:lastModifiedBy>
  <dcterms:modified xsi:type="dcterms:W3CDTF">2021-08-25T13:34:46Z</dcterms:modified>
  <dc:title>天津工业大学硕士研究生业务课考试大纲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