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000000"/>
          <w:sz w:val="24"/>
          <w:lang w:eastAsia="zh-CN"/>
        </w:rPr>
      </w:pPr>
      <w:bookmarkStart w:id="0" w:name="_GoBack"/>
      <w:bookmarkEnd w:id="0"/>
      <w:r>
        <w:rPr>
          <w:rFonts w:hint="eastAsia"/>
          <w:b/>
          <w:bCs/>
          <w:color w:val="000000"/>
          <w:sz w:val="24"/>
        </w:rPr>
        <w:t>天津工业大学硕士研究生入学考试业务课考试大纲</w:t>
      </w:r>
      <w:r>
        <w:rPr>
          <w:rFonts w:hint="eastAsia"/>
          <w:b/>
          <w:bCs/>
          <w:color w:val="000000"/>
          <w:sz w:val="24"/>
          <w:lang w:eastAsia="zh-CN"/>
        </w:rPr>
        <w:t>（</w:t>
      </w:r>
      <w:r>
        <w:rPr>
          <w:rFonts w:hint="eastAsia"/>
          <w:b/>
          <w:bCs/>
          <w:color w:val="000000"/>
          <w:sz w:val="24"/>
          <w:lang w:val="en-US" w:eastAsia="zh-CN"/>
        </w:rPr>
        <w:t>2020修订</w:t>
      </w:r>
      <w:r>
        <w:rPr>
          <w:rFonts w:hint="eastAsia"/>
          <w:b/>
          <w:bCs/>
          <w:color w:val="000000"/>
          <w:sz w:val="24"/>
          <w:lang w:eastAsia="zh-CN"/>
        </w:rPr>
        <w:t>）</w:t>
      </w:r>
    </w:p>
    <w:p>
      <w:pPr>
        <w:jc w:val="center"/>
        <w:rPr>
          <w:rFonts w:hint="eastAsia"/>
          <w:b/>
          <w:bCs/>
          <w:color w:val="000000"/>
          <w:sz w:val="24"/>
          <w:lang w:eastAsia="zh-CN"/>
        </w:rPr>
      </w:pPr>
    </w:p>
    <w:p>
      <w:pPr>
        <w:spacing w:line="360" w:lineRule="auto"/>
        <w:jc w:val="center"/>
        <w:rPr>
          <w:rFonts w:hint="eastAsia"/>
          <w:b/>
          <w:sz w:val="36"/>
          <w:szCs w:val="36"/>
        </w:rPr>
      </w:pPr>
      <w:r>
        <w:rPr>
          <w:rFonts w:hint="eastAsia"/>
          <w:szCs w:val="21"/>
        </w:rPr>
        <w:t>科目编号：8</w:t>
      </w:r>
      <w:r>
        <w:rPr>
          <w:rFonts w:hint="eastAsia"/>
          <w:szCs w:val="21"/>
          <w:lang w:val="en-US" w:eastAsia="zh-CN"/>
        </w:rPr>
        <w:t>39</w:t>
      </w:r>
      <w:r>
        <w:rPr>
          <w:rFonts w:hint="eastAsia"/>
          <w:szCs w:val="21"/>
        </w:rPr>
        <w:t xml:space="preserve">                                             科目名称：</w:t>
      </w:r>
      <w:r>
        <w:rPr>
          <w:rFonts w:hint="eastAsia"/>
          <w:szCs w:val="21"/>
          <w:lang w:val="en-US" w:eastAsia="zh-CN"/>
        </w:rPr>
        <w:t>环境监测</w:t>
      </w:r>
    </w:p>
    <w:p>
      <w:pPr>
        <w:spacing w:line="360" w:lineRule="auto"/>
        <w:jc w:val="center"/>
        <w:rPr>
          <w:rFonts w:hint="eastAsia"/>
          <w:b/>
          <w:sz w:val="36"/>
          <w:szCs w:val="36"/>
        </w:rPr>
      </w:pPr>
    </w:p>
    <w:p>
      <w:pPr>
        <w:numPr>
          <w:ilvl w:val="0"/>
          <w:numId w:val="1"/>
        </w:numPr>
        <w:spacing w:line="360" w:lineRule="auto"/>
        <w:rPr>
          <w:rFonts w:hint="eastAsia"/>
          <w:b/>
          <w:sz w:val="24"/>
        </w:rPr>
      </w:pPr>
      <w:r>
        <w:rPr>
          <w:b/>
          <w:sz w:val="24"/>
        </w:rPr>
        <w:t>考试的总体要求</w:t>
      </w:r>
    </w:p>
    <w:p>
      <w:pPr>
        <w:spacing w:line="360" w:lineRule="auto"/>
        <w:ind w:left="420"/>
        <w:rPr>
          <w:b/>
          <w:sz w:val="24"/>
        </w:rPr>
      </w:pPr>
    </w:p>
    <w:p>
      <w:pPr>
        <w:spacing w:line="360" w:lineRule="auto"/>
        <w:ind w:firstLine="480" w:firstLineChars="200"/>
        <w:rPr>
          <w:sz w:val="24"/>
        </w:rPr>
      </w:pPr>
      <w:r>
        <w:rPr>
          <w:sz w:val="24"/>
        </w:rPr>
        <w:t>“环境监测”</w:t>
      </w:r>
      <w:r>
        <w:rPr>
          <w:rFonts w:hint="eastAsia"/>
          <w:sz w:val="24"/>
        </w:rPr>
        <w:t>课程</w:t>
      </w:r>
      <w:r>
        <w:rPr>
          <w:sz w:val="24"/>
        </w:rPr>
        <w:t>入学考试是为招收环境科学与工程专业的硕士研究生而实施的选拔性考试。其指导思想是有利于选拔具有扎实的环境科学与工程基础理论知识和具备一定实验技能的高素质人才。要求考生</w:t>
      </w:r>
      <w:r>
        <w:rPr>
          <w:rFonts w:hint="eastAsia"/>
          <w:sz w:val="24"/>
        </w:rPr>
        <w:t>具备</w:t>
      </w:r>
      <w:r>
        <w:rPr>
          <w:sz w:val="24"/>
        </w:rPr>
        <w:t>系统掌握环境监测的基础知识</w:t>
      </w:r>
      <w:r>
        <w:rPr>
          <w:rFonts w:hint="eastAsia"/>
          <w:sz w:val="24"/>
        </w:rPr>
        <w:t>、</w:t>
      </w:r>
      <w:r>
        <w:rPr>
          <w:sz w:val="24"/>
        </w:rPr>
        <w:t>实验的基本操作及运用所学知识分析</w:t>
      </w:r>
      <w:r>
        <w:rPr>
          <w:rFonts w:hint="eastAsia"/>
          <w:sz w:val="24"/>
        </w:rPr>
        <w:t>与</w:t>
      </w:r>
      <w:r>
        <w:rPr>
          <w:sz w:val="24"/>
        </w:rPr>
        <w:t>解决</w:t>
      </w:r>
      <w:r>
        <w:rPr>
          <w:rFonts w:hint="eastAsia"/>
          <w:sz w:val="24"/>
        </w:rPr>
        <w:t>现实</w:t>
      </w:r>
      <w:r>
        <w:rPr>
          <w:sz w:val="24"/>
        </w:rPr>
        <w:t>问题的能力。</w:t>
      </w:r>
    </w:p>
    <w:p>
      <w:pPr>
        <w:spacing w:line="360" w:lineRule="auto"/>
        <w:rPr>
          <w:sz w:val="24"/>
        </w:rPr>
      </w:pPr>
    </w:p>
    <w:p>
      <w:pPr>
        <w:numPr>
          <w:ilvl w:val="0"/>
          <w:numId w:val="1"/>
        </w:numPr>
        <w:spacing w:line="360" w:lineRule="auto"/>
        <w:rPr>
          <w:rFonts w:hint="eastAsia"/>
          <w:sz w:val="24"/>
        </w:rPr>
      </w:pPr>
      <w:r>
        <w:rPr>
          <w:b/>
          <w:sz w:val="24"/>
        </w:rPr>
        <w:t>考试的内容及比例</w:t>
      </w:r>
    </w:p>
    <w:p>
      <w:pPr>
        <w:spacing w:line="360" w:lineRule="auto"/>
        <w:ind w:left="420"/>
        <w:rPr>
          <w:sz w:val="24"/>
        </w:rPr>
      </w:pPr>
    </w:p>
    <w:p>
      <w:pPr>
        <w:numPr>
          <w:ilvl w:val="0"/>
          <w:numId w:val="2"/>
        </w:numPr>
        <w:spacing w:line="360" w:lineRule="auto"/>
        <w:rPr>
          <w:sz w:val="24"/>
        </w:rPr>
      </w:pPr>
      <w:r>
        <w:rPr>
          <w:sz w:val="24"/>
        </w:rPr>
        <w:t>环境问题的概念及分类；环境分析及环境监测的关系；环境监测的目的及分类；环境监测的概念及环境标准的分类和分级。</w:t>
      </w:r>
      <w:r>
        <w:rPr>
          <w:rFonts w:hAnsi="宋体"/>
          <w:sz w:val="24"/>
        </w:rPr>
        <w:t>（约</w:t>
      </w:r>
      <w:r>
        <w:rPr>
          <w:sz w:val="24"/>
        </w:rPr>
        <w:t>5%</w:t>
      </w:r>
      <w:r>
        <w:rPr>
          <w:rFonts w:hAnsi="宋体"/>
          <w:sz w:val="24"/>
        </w:rPr>
        <w:t>）</w:t>
      </w:r>
    </w:p>
    <w:p>
      <w:pPr>
        <w:numPr>
          <w:ilvl w:val="0"/>
          <w:numId w:val="2"/>
        </w:numPr>
        <w:spacing w:line="360" w:lineRule="auto"/>
        <w:rPr>
          <w:sz w:val="24"/>
        </w:rPr>
      </w:pPr>
      <w:r>
        <w:rPr>
          <w:sz w:val="24"/>
        </w:rPr>
        <w:t>误差、准确度、精密度、灵敏度、校准曲线和检测限等名词解释；离群值的检验方法及适用范围；环境质量保证体系及方法；质量控制图的绘制及</w:t>
      </w:r>
      <w:r>
        <w:rPr>
          <w:rFonts w:hint="eastAsia"/>
          <w:sz w:val="24"/>
        </w:rPr>
        <w:t>其</w:t>
      </w:r>
      <w:r>
        <w:rPr>
          <w:sz w:val="24"/>
        </w:rPr>
        <w:t>判断；环境标准物质与环境控制样品的</w:t>
      </w:r>
      <w:r>
        <w:rPr>
          <w:rFonts w:hint="eastAsia"/>
          <w:sz w:val="24"/>
        </w:rPr>
        <w:t>差异性</w:t>
      </w:r>
      <w:r>
        <w:rPr>
          <w:sz w:val="24"/>
        </w:rPr>
        <w:t>。</w:t>
      </w:r>
      <w:r>
        <w:rPr>
          <w:rFonts w:hAnsi="宋体"/>
          <w:sz w:val="24"/>
        </w:rPr>
        <w:t>（约</w:t>
      </w:r>
      <w:r>
        <w:rPr>
          <w:sz w:val="24"/>
        </w:rPr>
        <w:t>15%</w:t>
      </w:r>
      <w:r>
        <w:rPr>
          <w:rFonts w:hAnsi="宋体"/>
          <w:sz w:val="24"/>
        </w:rPr>
        <w:t>）</w:t>
      </w:r>
    </w:p>
    <w:p>
      <w:pPr>
        <w:numPr>
          <w:ilvl w:val="0"/>
          <w:numId w:val="2"/>
        </w:numPr>
        <w:spacing w:line="360" w:lineRule="auto"/>
        <w:rPr>
          <w:sz w:val="24"/>
        </w:rPr>
      </w:pPr>
      <w:r>
        <w:rPr>
          <w:sz w:val="24"/>
        </w:rPr>
        <w:t>污泥沉降比、SVI等名词解释；水质监测对象；地面水监测断面的设置；地面水和工业废水采样点的设置、采样的时间和频率；水样类型；水样的保存、运输和预处理方法及其质量保证/控制；水样温度、颜色、浊度、透明度等物理指标的测定；水样有机污染指标的含义及DO、COD、BOD</w:t>
      </w:r>
      <w:r>
        <w:rPr>
          <w:sz w:val="24"/>
          <w:vertAlign w:val="subscript"/>
        </w:rPr>
        <w:t>5</w:t>
      </w:r>
      <w:r>
        <w:rPr>
          <w:sz w:val="24"/>
        </w:rPr>
        <w:t>的采样（质量控制过程）、预处理方法</w:t>
      </w:r>
      <w:r>
        <w:rPr>
          <w:rFonts w:hint="eastAsia"/>
          <w:sz w:val="24"/>
        </w:rPr>
        <w:t>、</w:t>
      </w:r>
      <w:r>
        <w:rPr>
          <w:sz w:val="24"/>
        </w:rPr>
        <w:t>测定原理和</w:t>
      </w:r>
      <w:r>
        <w:rPr>
          <w:rFonts w:hint="eastAsia"/>
          <w:sz w:val="24"/>
        </w:rPr>
        <w:t>分析</w:t>
      </w:r>
      <w:r>
        <w:rPr>
          <w:sz w:val="24"/>
        </w:rPr>
        <w:t>方法等内容；水中氨氮测定；原子吸收光度法</w:t>
      </w:r>
      <w:r>
        <w:rPr>
          <w:rFonts w:hint="eastAsia"/>
          <w:sz w:val="24"/>
        </w:rPr>
        <w:t>分析</w:t>
      </w:r>
      <w:r>
        <w:rPr>
          <w:sz w:val="24"/>
        </w:rPr>
        <w:t>重金属</w:t>
      </w:r>
      <w:r>
        <w:rPr>
          <w:rFonts w:hint="eastAsia"/>
          <w:sz w:val="24"/>
        </w:rPr>
        <w:t>离子(如</w:t>
      </w:r>
      <w:r>
        <w:rPr>
          <w:sz w:val="24"/>
        </w:rPr>
        <w:t>铬</w:t>
      </w:r>
      <w:r>
        <w:rPr>
          <w:rFonts w:hint="eastAsia"/>
          <w:sz w:val="24"/>
        </w:rPr>
        <w:t>等</w:t>
      </w:r>
      <w:r>
        <w:rPr>
          <w:sz w:val="24"/>
        </w:rPr>
        <w:t>原理</w:t>
      </w:r>
      <w:r>
        <w:rPr>
          <w:rFonts w:hint="eastAsia"/>
          <w:sz w:val="24"/>
        </w:rPr>
        <w:t>)</w:t>
      </w:r>
      <w:r>
        <w:rPr>
          <w:sz w:val="24"/>
        </w:rPr>
        <w:t>、方法及</w:t>
      </w:r>
      <w:r>
        <w:rPr>
          <w:rFonts w:hint="eastAsia"/>
          <w:sz w:val="24"/>
        </w:rPr>
        <w:t>其</w:t>
      </w:r>
      <w:r>
        <w:rPr>
          <w:sz w:val="24"/>
        </w:rPr>
        <w:t>样品预处理。液相色谱</w:t>
      </w:r>
      <w:r>
        <w:rPr>
          <w:rFonts w:hint="eastAsia"/>
          <w:sz w:val="24"/>
        </w:rPr>
        <w:t>与</w:t>
      </w:r>
      <w:r>
        <w:rPr>
          <w:sz w:val="24"/>
        </w:rPr>
        <w:t>气相色谱</w:t>
      </w:r>
      <w:r>
        <w:rPr>
          <w:rFonts w:hint="eastAsia"/>
          <w:sz w:val="24"/>
        </w:rPr>
        <w:t>等</w:t>
      </w:r>
      <w:r>
        <w:rPr>
          <w:sz w:val="24"/>
        </w:rPr>
        <w:t>相关知识</w:t>
      </w:r>
      <w:r>
        <w:rPr>
          <w:rFonts w:hint="eastAsia"/>
          <w:sz w:val="24"/>
        </w:rPr>
        <w:t>。</w:t>
      </w:r>
      <w:r>
        <w:rPr>
          <w:rFonts w:hAnsi="宋体"/>
          <w:sz w:val="24"/>
        </w:rPr>
        <w:t>（约</w:t>
      </w:r>
      <w:r>
        <w:rPr>
          <w:sz w:val="24"/>
        </w:rPr>
        <w:t>35%</w:t>
      </w:r>
      <w:r>
        <w:rPr>
          <w:rFonts w:hAnsi="宋体"/>
          <w:sz w:val="24"/>
        </w:rPr>
        <w:t>）</w:t>
      </w:r>
    </w:p>
    <w:p>
      <w:pPr>
        <w:numPr>
          <w:ilvl w:val="0"/>
          <w:numId w:val="2"/>
        </w:numPr>
        <w:spacing w:line="360" w:lineRule="auto"/>
        <w:rPr>
          <w:kern w:val="0"/>
          <w:sz w:val="24"/>
        </w:rPr>
      </w:pPr>
      <w:r>
        <w:rPr>
          <w:sz w:val="24"/>
        </w:rPr>
        <w:t>PM2.5</w:t>
      </w:r>
      <w:r>
        <w:rPr>
          <w:rFonts w:hAnsi="宋体"/>
          <w:sz w:val="24"/>
        </w:rPr>
        <w:t>等定义及危害；</w:t>
      </w:r>
      <w:r>
        <w:rPr>
          <w:sz w:val="24"/>
        </w:rPr>
        <w:t>大气监测采样点的布设方法和大气样品的采集方法；大气污染物二氧化硫及氮氧化物的测定方法与原理；静态配气法与动态配气法的原理及适用范围。</w:t>
      </w:r>
      <w:r>
        <w:rPr>
          <w:rFonts w:hAnsi="宋体"/>
          <w:sz w:val="24"/>
        </w:rPr>
        <w:t>（约</w:t>
      </w:r>
      <w:r>
        <w:rPr>
          <w:sz w:val="24"/>
        </w:rPr>
        <w:t>15%</w:t>
      </w:r>
      <w:r>
        <w:rPr>
          <w:rFonts w:hAnsi="宋体"/>
          <w:sz w:val="24"/>
        </w:rPr>
        <w:t>）</w:t>
      </w:r>
    </w:p>
    <w:p>
      <w:pPr>
        <w:numPr>
          <w:ilvl w:val="0"/>
          <w:numId w:val="2"/>
        </w:numPr>
        <w:spacing w:line="360" w:lineRule="auto"/>
        <w:rPr>
          <w:kern w:val="0"/>
          <w:sz w:val="24"/>
        </w:rPr>
      </w:pPr>
      <w:r>
        <w:rPr>
          <w:rFonts w:hAnsi="宋体"/>
          <w:sz w:val="24"/>
        </w:rPr>
        <w:t>噪声、计权声级等概念；</w:t>
      </w:r>
      <w:r>
        <w:rPr>
          <w:rFonts w:hAnsi="Arial"/>
          <w:kern w:val="0"/>
          <w:sz w:val="24"/>
        </w:rPr>
        <w:t>城市区域环境噪声监测方法；影响噪声监测的因素。</w:t>
      </w:r>
      <w:r>
        <w:rPr>
          <w:kern w:val="0"/>
          <w:sz w:val="24"/>
        </w:rPr>
        <w:t xml:space="preserve"> </w:t>
      </w:r>
      <w:r>
        <w:rPr>
          <w:rFonts w:hAnsi="宋体"/>
          <w:sz w:val="24"/>
        </w:rPr>
        <w:t>（约</w:t>
      </w:r>
      <w:r>
        <w:rPr>
          <w:kern w:val="0"/>
          <w:sz w:val="24"/>
        </w:rPr>
        <w:t>5 %</w:t>
      </w:r>
      <w:r>
        <w:rPr>
          <w:rFonts w:hAnsi="宋体"/>
          <w:kern w:val="0"/>
          <w:sz w:val="24"/>
        </w:rPr>
        <w:t>）</w:t>
      </w:r>
    </w:p>
    <w:p>
      <w:pPr>
        <w:numPr>
          <w:ilvl w:val="0"/>
          <w:numId w:val="2"/>
        </w:numPr>
        <w:spacing w:line="360" w:lineRule="auto"/>
        <w:rPr>
          <w:kern w:val="0"/>
          <w:sz w:val="24"/>
        </w:rPr>
      </w:pPr>
      <w:r>
        <w:rPr>
          <w:sz w:val="24"/>
        </w:rPr>
        <w:t>土壤、土壤背景值等概念；土壤主要污染物的特征及其危害；土壤监测的目的；土壤采样点的布设原则及方法、采样点数量；土壤样品采集和预处理方法</w:t>
      </w:r>
      <w:r>
        <w:rPr>
          <w:rFonts w:hint="eastAsia"/>
          <w:sz w:val="24"/>
        </w:rPr>
        <w:t>等</w:t>
      </w:r>
      <w:r>
        <w:rPr>
          <w:sz w:val="24"/>
        </w:rPr>
        <w:t>。</w:t>
      </w:r>
      <w:r>
        <w:rPr>
          <w:rFonts w:hAnsi="宋体"/>
          <w:sz w:val="24"/>
        </w:rPr>
        <w:t>（约</w:t>
      </w:r>
      <w:r>
        <w:rPr>
          <w:sz w:val="24"/>
        </w:rPr>
        <w:t>15%</w:t>
      </w:r>
      <w:r>
        <w:rPr>
          <w:rFonts w:hAnsi="宋体"/>
          <w:sz w:val="24"/>
        </w:rPr>
        <w:t>）</w:t>
      </w:r>
    </w:p>
    <w:p>
      <w:pPr>
        <w:numPr>
          <w:ilvl w:val="0"/>
          <w:numId w:val="2"/>
        </w:numPr>
        <w:spacing w:line="360" w:lineRule="auto"/>
        <w:rPr>
          <w:kern w:val="0"/>
          <w:sz w:val="24"/>
        </w:rPr>
      </w:pPr>
      <w:r>
        <w:rPr>
          <w:rFonts w:hAnsi="Arial"/>
          <w:kern w:val="0"/>
          <w:sz w:val="24"/>
        </w:rPr>
        <w:t>有害固体废物定义和鉴别方法；固体废物填埋场监测。</w:t>
      </w:r>
      <w:r>
        <w:rPr>
          <w:rFonts w:hAnsi="宋体"/>
          <w:sz w:val="24"/>
        </w:rPr>
        <w:t>（约</w:t>
      </w:r>
      <w:r>
        <w:rPr>
          <w:kern w:val="0"/>
          <w:sz w:val="24"/>
        </w:rPr>
        <w:t>5%</w:t>
      </w:r>
      <w:r>
        <w:rPr>
          <w:rFonts w:hAnsi="宋体"/>
          <w:kern w:val="0"/>
          <w:sz w:val="24"/>
        </w:rPr>
        <w:t>）</w:t>
      </w:r>
    </w:p>
    <w:p>
      <w:pPr>
        <w:spacing w:line="360" w:lineRule="auto"/>
        <w:rPr>
          <w:rFonts w:hint="eastAsia"/>
          <w:kern w:val="0"/>
          <w:sz w:val="24"/>
        </w:rPr>
      </w:pPr>
      <w:r>
        <w:rPr>
          <w:sz w:val="24"/>
        </w:rPr>
        <w:t>8、生物监测方法及其意义；自动监测</w:t>
      </w:r>
      <w:r>
        <w:rPr>
          <w:rFonts w:hint="eastAsia"/>
          <w:sz w:val="24"/>
        </w:rPr>
        <w:t>。</w:t>
      </w:r>
      <w:r>
        <w:rPr>
          <w:sz w:val="24"/>
        </w:rPr>
        <w:t>（约</w:t>
      </w:r>
      <w:r>
        <w:rPr>
          <w:kern w:val="0"/>
          <w:sz w:val="24"/>
        </w:rPr>
        <w:t>5%）</w:t>
      </w:r>
    </w:p>
    <w:p>
      <w:pPr>
        <w:spacing w:line="360" w:lineRule="auto"/>
        <w:rPr>
          <w:rFonts w:hint="eastAsia"/>
          <w:sz w:val="24"/>
        </w:rPr>
      </w:pPr>
    </w:p>
    <w:p>
      <w:pPr>
        <w:numPr>
          <w:ilvl w:val="0"/>
          <w:numId w:val="1"/>
        </w:numPr>
        <w:spacing w:line="360" w:lineRule="auto"/>
        <w:rPr>
          <w:rFonts w:hint="eastAsia"/>
          <w:b/>
          <w:sz w:val="24"/>
        </w:rPr>
      </w:pPr>
      <w:r>
        <w:rPr>
          <w:b/>
          <w:sz w:val="24"/>
        </w:rPr>
        <w:t>考试的题型及比例</w:t>
      </w:r>
    </w:p>
    <w:p>
      <w:pPr>
        <w:spacing w:line="360" w:lineRule="auto"/>
        <w:ind w:left="420"/>
        <w:rPr>
          <w:rFonts w:hint="eastAsia" w:ascii="宋体" w:hAnsi="宋体" w:cs="宋体"/>
          <w:b/>
          <w:sz w:val="24"/>
        </w:rPr>
      </w:pPr>
    </w:p>
    <w:p>
      <w:pPr>
        <w:numPr>
          <w:ilvl w:val="0"/>
          <w:numId w:val="3"/>
        </w:numPr>
        <w:spacing w:line="360" w:lineRule="auto"/>
        <w:rPr>
          <w:sz w:val="24"/>
        </w:rPr>
      </w:pPr>
      <w:r>
        <w:rPr>
          <w:sz w:val="24"/>
        </w:rPr>
        <w:t>名词解释</w:t>
      </w:r>
      <w:r>
        <w:rPr>
          <w:rFonts w:hint="eastAsia"/>
          <w:sz w:val="24"/>
        </w:rPr>
        <w:t>（约</w:t>
      </w:r>
      <w:r>
        <w:rPr>
          <w:sz w:val="24"/>
        </w:rPr>
        <w:t>10%</w:t>
      </w:r>
      <w:r>
        <w:rPr>
          <w:rFonts w:hint="eastAsia" w:ascii="宋体" w:hAnsi="宋体" w:cs="宋体"/>
          <w:sz w:val="24"/>
        </w:rPr>
        <w:t>）</w:t>
      </w:r>
    </w:p>
    <w:p>
      <w:pPr>
        <w:numPr>
          <w:ilvl w:val="0"/>
          <w:numId w:val="3"/>
        </w:numPr>
        <w:spacing w:line="360" w:lineRule="auto"/>
        <w:rPr>
          <w:sz w:val="24"/>
        </w:rPr>
      </w:pPr>
      <w:r>
        <w:rPr>
          <w:sz w:val="24"/>
        </w:rPr>
        <w:t>填空或选择题</w:t>
      </w:r>
      <w:r>
        <w:rPr>
          <w:rFonts w:hint="eastAsia"/>
          <w:sz w:val="24"/>
        </w:rPr>
        <w:t>（</w:t>
      </w:r>
      <w:r>
        <w:rPr>
          <w:rFonts w:hint="eastAsia" w:ascii="宋体" w:hAnsi="宋体" w:cs="宋体"/>
          <w:sz w:val="24"/>
        </w:rPr>
        <w:t>约</w:t>
      </w:r>
      <w:r>
        <w:rPr>
          <w:sz w:val="24"/>
        </w:rPr>
        <w:t>20%</w:t>
      </w:r>
      <w:r>
        <w:rPr>
          <w:rFonts w:hint="eastAsia" w:ascii="宋体" w:hAnsi="宋体" w:cs="宋体"/>
          <w:sz w:val="24"/>
        </w:rPr>
        <w:t>）</w:t>
      </w:r>
    </w:p>
    <w:p>
      <w:pPr>
        <w:numPr>
          <w:ilvl w:val="0"/>
          <w:numId w:val="3"/>
        </w:numPr>
        <w:spacing w:line="360" w:lineRule="auto"/>
        <w:rPr>
          <w:sz w:val="24"/>
        </w:rPr>
      </w:pPr>
      <w:r>
        <w:rPr>
          <w:sz w:val="24"/>
        </w:rPr>
        <w:t>计算题</w:t>
      </w:r>
      <w:r>
        <w:rPr>
          <w:rFonts w:hint="eastAsia"/>
          <w:sz w:val="24"/>
        </w:rPr>
        <w:t>（</w:t>
      </w:r>
      <w:r>
        <w:rPr>
          <w:rFonts w:hint="eastAsia" w:ascii="宋体" w:hAnsi="宋体" w:cs="宋体"/>
          <w:sz w:val="24"/>
        </w:rPr>
        <w:t>约</w:t>
      </w:r>
      <w:r>
        <w:rPr>
          <w:sz w:val="24"/>
        </w:rPr>
        <w:t>15%</w:t>
      </w:r>
      <w:r>
        <w:rPr>
          <w:rFonts w:hint="eastAsia" w:ascii="宋体" w:hAnsi="宋体" w:cs="宋体"/>
          <w:sz w:val="24"/>
        </w:rPr>
        <w:t>）</w:t>
      </w:r>
      <w:r>
        <w:rPr>
          <w:sz w:val="24"/>
        </w:rPr>
        <w:t xml:space="preserve"> </w:t>
      </w:r>
    </w:p>
    <w:p>
      <w:pPr>
        <w:numPr>
          <w:ilvl w:val="0"/>
          <w:numId w:val="3"/>
        </w:numPr>
        <w:spacing w:line="360" w:lineRule="auto"/>
        <w:rPr>
          <w:sz w:val="24"/>
        </w:rPr>
      </w:pPr>
      <w:r>
        <w:rPr>
          <w:sz w:val="24"/>
        </w:rPr>
        <w:t>简答题</w:t>
      </w:r>
      <w:r>
        <w:rPr>
          <w:rFonts w:hint="eastAsia"/>
          <w:sz w:val="24"/>
        </w:rPr>
        <w:t>（约</w:t>
      </w:r>
      <w:r>
        <w:rPr>
          <w:sz w:val="24"/>
        </w:rPr>
        <w:t>30%)</w:t>
      </w:r>
    </w:p>
    <w:p>
      <w:pPr>
        <w:numPr>
          <w:ilvl w:val="0"/>
          <w:numId w:val="3"/>
        </w:numPr>
        <w:spacing w:line="360" w:lineRule="auto"/>
        <w:rPr>
          <w:sz w:val="24"/>
        </w:rPr>
      </w:pPr>
      <w:r>
        <w:rPr>
          <w:sz w:val="24"/>
        </w:rPr>
        <w:t>论述题</w:t>
      </w:r>
      <w:r>
        <w:rPr>
          <w:rFonts w:hint="eastAsia"/>
          <w:sz w:val="24"/>
        </w:rPr>
        <w:t>（约</w:t>
      </w:r>
      <w:r>
        <w:rPr>
          <w:sz w:val="24"/>
        </w:rPr>
        <w:t>25%</w:t>
      </w:r>
      <w:r>
        <w:rPr>
          <w:rFonts w:hint="eastAsia" w:ascii="宋体" w:hAnsi="宋体" w:cs="宋体"/>
          <w:sz w:val="24"/>
        </w:rPr>
        <w:t>）</w:t>
      </w:r>
    </w:p>
    <w:p>
      <w:pPr>
        <w:spacing w:line="360" w:lineRule="auto"/>
        <w:rPr>
          <w:rFonts w:hint="eastAsia"/>
          <w:sz w:val="24"/>
        </w:rPr>
      </w:pPr>
    </w:p>
    <w:p>
      <w:pPr>
        <w:numPr>
          <w:ilvl w:val="0"/>
          <w:numId w:val="1"/>
        </w:numPr>
        <w:spacing w:line="360" w:lineRule="auto"/>
        <w:rPr>
          <w:rFonts w:hint="eastAsia"/>
          <w:sz w:val="24"/>
        </w:rPr>
      </w:pPr>
      <w:r>
        <w:rPr>
          <w:rFonts w:hint="eastAsia"/>
          <w:b/>
          <w:sz w:val="24"/>
        </w:rPr>
        <w:t>考试形式及时间</w:t>
      </w:r>
    </w:p>
    <w:p>
      <w:pPr>
        <w:spacing w:line="360" w:lineRule="auto"/>
        <w:ind w:left="420"/>
        <w:rPr>
          <w:rFonts w:hint="eastAsia"/>
          <w:sz w:val="24"/>
        </w:rPr>
      </w:pPr>
    </w:p>
    <w:p>
      <w:pPr>
        <w:spacing w:line="360" w:lineRule="auto"/>
        <w:rPr>
          <w:rFonts w:hint="eastAsia"/>
          <w:sz w:val="24"/>
        </w:rPr>
      </w:pPr>
      <w:r>
        <w:rPr>
          <w:rFonts w:hint="eastAsia"/>
          <w:sz w:val="24"/>
        </w:rPr>
        <w:t>“环境监测”考试形式为笔试，考试时间为3小时。</w:t>
      </w:r>
    </w:p>
    <w:p>
      <w:pPr>
        <w:spacing w:line="360" w:lineRule="auto"/>
        <w:rPr>
          <w:rFonts w:hint="eastAsia"/>
          <w:sz w:val="24"/>
        </w:rPr>
      </w:pPr>
    </w:p>
    <w:p>
      <w:pPr>
        <w:numPr>
          <w:ilvl w:val="0"/>
          <w:numId w:val="1"/>
        </w:numPr>
        <w:spacing w:line="360" w:lineRule="auto"/>
        <w:rPr>
          <w:rFonts w:hint="eastAsia"/>
          <w:b/>
          <w:sz w:val="24"/>
        </w:rPr>
      </w:pPr>
      <w:r>
        <w:rPr>
          <w:rFonts w:hint="eastAsia"/>
          <w:b/>
          <w:sz w:val="24"/>
        </w:rPr>
        <w:t>主要参考书目</w:t>
      </w:r>
    </w:p>
    <w:p>
      <w:pPr>
        <w:spacing w:line="360" w:lineRule="auto"/>
        <w:ind w:left="420"/>
        <w:rPr>
          <w:rFonts w:hint="eastAsia"/>
          <w:b/>
          <w:sz w:val="24"/>
        </w:rPr>
      </w:pPr>
    </w:p>
    <w:p>
      <w:pPr>
        <w:numPr>
          <w:ilvl w:val="0"/>
          <w:numId w:val="4"/>
        </w:numPr>
        <w:spacing w:line="360" w:lineRule="auto"/>
        <w:rPr>
          <w:rFonts w:hint="eastAsia"/>
          <w:sz w:val="24"/>
        </w:rPr>
      </w:pPr>
      <w:r>
        <w:rPr>
          <w:rFonts w:hint="eastAsia"/>
          <w:sz w:val="24"/>
        </w:rPr>
        <w:t>奚旦立等合编，环境监测（第四版），北京：高等教育出版社，2010年。</w:t>
      </w:r>
    </w:p>
    <w:p>
      <w:pPr>
        <w:numPr>
          <w:ilvl w:val="0"/>
          <w:numId w:val="4"/>
        </w:numPr>
        <w:spacing w:line="360" w:lineRule="auto"/>
        <w:rPr>
          <w:rFonts w:hint="eastAsia"/>
          <w:sz w:val="24"/>
        </w:rPr>
      </w:pPr>
      <w:r>
        <w:rPr>
          <w:rFonts w:hint="eastAsia"/>
          <w:sz w:val="24"/>
        </w:rPr>
        <w:t>但德忠主编，环境监测，北京：高等教育出版社，2006年。</w:t>
      </w:r>
    </w:p>
    <w:p>
      <w:pPr>
        <w:rPr>
          <w:rFonts w:hint="eastAsia"/>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3C46"/>
    <w:multiLevelType w:val="multilevel"/>
    <w:tmpl w:val="03A33C4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86A7F80"/>
    <w:multiLevelType w:val="multilevel"/>
    <w:tmpl w:val="086A7F8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A7E1B30"/>
    <w:multiLevelType w:val="multilevel"/>
    <w:tmpl w:val="1A7E1B3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A3C742E"/>
    <w:multiLevelType w:val="multilevel"/>
    <w:tmpl w:val="5A3C742E"/>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81"/>
    <w:rsid w:val="000014A3"/>
    <w:rsid w:val="00015697"/>
    <w:rsid w:val="00085080"/>
    <w:rsid w:val="00092E33"/>
    <w:rsid w:val="000D3A11"/>
    <w:rsid w:val="00135C80"/>
    <w:rsid w:val="0014757E"/>
    <w:rsid w:val="00185B27"/>
    <w:rsid w:val="001A3024"/>
    <w:rsid w:val="001C061A"/>
    <w:rsid w:val="001C7B0A"/>
    <w:rsid w:val="002720E1"/>
    <w:rsid w:val="003575BF"/>
    <w:rsid w:val="00361FF7"/>
    <w:rsid w:val="003D0B84"/>
    <w:rsid w:val="003D420F"/>
    <w:rsid w:val="00444129"/>
    <w:rsid w:val="00446D56"/>
    <w:rsid w:val="00465046"/>
    <w:rsid w:val="004A1279"/>
    <w:rsid w:val="004D483D"/>
    <w:rsid w:val="004D5B3B"/>
    <w:rsid w:val="0053094E"/>
    <w:rsid w:val="00557008"/>
    <w:rsid w:val="005604CA"/>
    <w:rsid w:val="00566492"/>
    <w:rsid w:val="005761D4"/>
    <w:rsid w:val="005A2C33"/>
    <w:rsid w:val="005C5C51"/>
    <w:rsid w:val="0068378F"/>
    <w:rsid w:val="0069144E"/>
    <w:rsid w:val="006A6A6E"/>
    <w:rsid w:val="007367B1"/>
    <w:rsid w:val="00737F5E"/>
    <w:rsid w:val="007A0135"/>
    <w:rsid w:val="007A057E"/>
    <w:rsid w:val="007A4AA8"/>
    <w:rsid w:val="007C1F62"/>
    <w:rsid w:val="00813629"/>
    <w:rsid w:val="00825C83"/>
    <w:rsid w:val="00830034"/>
    <w:rsid w:val="00836364"/>
    <w:rsid w:val="00850617"/>
    <w:rsid w:val="00875881"/>
    <w:rsid w:val="0088649F"/>
    <w:rsid w:val="00886AE2"/>
    <w:rsid w:val="0089707E"/>
    <w:rsid w:val="008B2884"/>
    <w:rsid w:val="0092382A"/>
    <w:rsid w:val="0095428A"/>
    <w:rsid w:val="00962450"/>
    <w:rsid w:val="00973856"/>
    <w:rsid w:val="00993826"/>
    <w:rsid w:val="00993BC7"/>
    <w:rsid w:val="009E0B4D"/>
    <w:rsid w:val="009E2694"/>
    <w:rsid w:val="00A00CF7"/>
    <w:rsid w:val="00A24424"/>
    <w:rsid w:val="00A56E2D"/>
    <w:rsid w:val="00AE7E7B"/>
    <w:rsid w:val="00B150FF"/>
    <w:rsid w:val="00B20318"/>
    <w:rsid w:val="00B22AF3"/>
    <w:rsid w:val="00B71B34"/>
    <w:rsid w:val="00B93471"/>
    <w:rsid w:val="00B962A0"/>
    <w:rsid w:val="00BA4BCD"/>
    <w:rsid w:val="00C33381"/>
    <w:rsid w:val="00C46C80"/>
    <w:rsid w:val="00C5214F"/>
    <w:rsid w:val="00C72A48"/>
    <w:rsid w:val="00CB7E75"/>
    <w:rsid w:val="00D5325A"/>
    <w:rsid w:val="00E125E0"/>
    <w:rsid w:val="00E46901"/>
    <w:rsid w:val="00EA1532"/>
    <w:rsid w:val="00F20C3A"/>
    <w:rsid w:val="00FA4415"/>
    <w:rsid w:val="00FD1BFD"/>
    <w:rsid w:val="0EC81351"/>
    <w:rsid w:val="2D064B09"/>
    <w:rsid w:val="40D87683"/>
    <w:rsid w:val="749211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nhideWhenUsed="0" w:uiPriority="99" w:name="Medium Grid 1"/>
    <w:lsdException w:qFormat="1" w:unhideWhenUsed="0" w:uiPriority="1" w:semiHidden="0" w:name="Medium Grid 2"/>
    <w:lsdException w:unhideWhenUsed="0" w:uiPriority="60" w:semiHidden="0" w:name="Medium Grid 3"/>
    <w:lsdException w:unhideWhenUsed="0" w:uiPriority="61" w:semiHidden="0" w:name="Dark List"/>
    <w:lsdException w:unhideWhenUsed="0" w:uiPriority="62" w:semiHidden="0" w:name="Colorful Shading"/>
    <w:lsdException w:unhideWhenUsed="0" w:uiPriority="63" w:semiHidden="0" w:name="Colorful List"/>
    <w:lsdException w:unhideWhenUsed="0" w:uiPriority="64" w:semiHidden="0" w:name="Colorful Grid"/>
    <w:lsdException w:unhideWhenUsed="0" w:uiPriority="65" w:semiHidden="0" w:name="Light Shading Accent 1"/>
    <w:lsdException w:unhideWhenUsed="0" w:uiPriority="66" w:semiHidden="0" w:name="Light List Accent 1"/>
    <w:lsdException w:unhideWhenUsed="0" w:uiPriority="67" w:semiHidden="0" w:name="Light Grid Accent 1"/>
    <w:lsdException w:unhideWhenUsed="0" w:uiPriority="68" w:semiHidden="0" w:name="Medium Shading 1 Accent 1"/>
    <w:lsdException w:unhideWhenUsed="0" w:uiPriority="69" w:semiHidden="0" w:name="Medium Shading 2 Accent 1"/>
    <w:lsdException w:unhideWhenUsed="0" w:uiPriority="70" w:semiHidden="0" w:name="Medium List 1 Accent 1"/>
    <w:lsdException w:unhideWhenUsed="0" w:uiPriority="61" w:semiHidden="0" w:name="Medium List 2 Accent 1"/>
    <w:lsdException w:unhideWhenUsed="0" w:uiPriority="62" w:semiHidden="0" w:name="Medium Grid 1 Accent 1"/>
    <w:lsdException w:unhideWhenUsed="0" w:uiPriority="63" w:semiHidden="0" w:name="Medium Grid 2 Accent 1"/>
    <w:lsdException w:unhideWhenUsed="0" w:uiPriority="64" w:semiHidden="0" w:name="Medium Grid 3 Accent 1"/>
    <w:lsdException w:unhideWhenUsed="0" w:uiPriority="65" w:semiHidden="0" w:name="Dark List Accent 1"/>
    <w:lsdException w:unhideWhenUsed="0" w:uiPriority="99" w:name="Colorful Shading Accent 1"/>
    <w:lsdException w:qFormat="1" w:unhideWhenUsed="0" w:uiPriority="34" w:semiHidden="0" w:name="Colorful List Accent 1"/>
    <w:lsdException w:qFormat="1" w:unhideWhenUsed="0" w:uiPriority="29" w:semiHidden="0" w:name="Colorful Grid Accent 1"/>
    <w:lsdException w:qFormat="1" w:unhideWhenUsed="0" w:uiPriority="30" w:semiHidden="0" w:name="Light Shading Accent 2"/>
    <w:lsdException w:unhideWhenUsed="0" w:uiPriority="66" w:semiHidden="0" w:name="Light List Accent 2"/>
    <w:lsdException w:unhideWhenUsed="0" w:uiPriority="67" w:semiHidden="0" w:name="Light Grid Accent 2"/>
    <w:lsdException w:unhideWhenUsed="0" w:uiPriority="68" w:semiHidden="0" w:name="Medium Shading 1 Accent 2"/>
    <w:lsdException w:unhideWhenUsed="0" w:uiPriority="69" w:semiHidden="0" w:name="Medium Shading 2 Accent 2"/>
    <w:lsdException w:unhideWhenUsed="0" w:uiPriority="70" w:semiHidden="0" w:name="Medium List 1 Accent 2"/>
    <w:lsdException w:unhideWhenUsed="0" w:uiPriority="71" w:semiHidden="0" w:name="Medium List 2 Accent 2"/>
    <w:lsdException w:unhideWhenUsed="0" w:uiPriority="72" w:semiHidden="0" w:name="Medium Grid 1 Accent 2"/>
    <w:lsdException w:unhideWhenUsed="0" w:uiPriority="73" w:semiHidden="0" w:name="Medium Grid 2 Accent 2"/>
    <w:lsdException w:unhideWhenUsed="0" w:uiPriority="60" w:semiHidden="0" w:name="Medium Grid 3 Accent 2"/>
    <w:lsdException w:unhideWhenUsed="0" w:uiPriority="61" w:semiHidden="0" w:name="Dark List Accent 2"/>
    <w:lsdException w:unhideWhenUsed="0" w:uiPriority="62" w:semiHidden="0" w:name="Colorful Shading Accent 2"/>
    <w:lsdException w:unhideWhenUsed="0" w:uiPriority="63" w:semiHidden="0" w:name="Colorful List Accent 2"/>
    <w:lsdException w:unhideWhenUsed="0" w:uiPriority="64" w:semiHidden="0" w:name="Colorful Grid Accent 2"/>
    <w:lsdException w:unhideWhenUsed="0" w:uiPriority="65" w:semiHidden="0" w:name="Light Shading Accent 3"/>
    <w:lsdException w:unhideWhenUsed="0" w:uiPriority="66" w:semiHidden="0" w:name="Light List Accent 3"/>
    <w:lsdException w:unhideWhenUsed="0" w:uiPriority="67" w:semiHidden="0" w:name="Light Grid Accent 3"/>
    <w:lsdException w:unhideWhenUsed="0" w:uiPriority="68" w:semiHidden="0" w:name="Medium Shading 1 Accent 3"/>
    <w:lsdException w:unhideWhenUsed="0" w:uiPriority="69" w:semiHidden="0" w:name="Medium Shading 2 Accent 3"/>
    <w:lsdException w:unhideWhenUsed="0" w:uiPriority="70" w:semiHidden="0" w:name="Medium List 1 Accent 3"/>
    <w:lsdException w:unhideWhenUsed="0" w:uiPriority="71" w:semiHidden="0" w:name="Medium List 2 Accent 3"/>
    <w:lsdException w:unhideWhenUsed="0" w:uiPriority="72" w:semiHidden="0" w:name="Medium Grid 1 Accent 3"/>
    <w:lsdException w:unhideWhenUsed="0" w:uiPriority="73" w:semiHidden="0" w:name="Medium Grid 2 Accent 3"/>
    <w:lsdException w:unhideWhenUsed="0" w:uiPriority="60" w:semiHidden="0" w:name="Medium Grid 3 Accent 3"/>
    <w:lsdException w:unhideWhenUsed="0" w:uiPriority="61" w:semiHidden="0" w:name="Dark List Accent 3"/>
    <w:lsdException w:unhideWhenUsed="0" w:uiPriority="62" w:semiHidden="0" w:name="Colorful Shading Accent 3"/>
    <w:lsdException w:unhideWhenUsed="0" w:uiPriority="63" w:semiHidden="0" w:name="Colorful List Accent 3"/>
    <w:lsdException w:unhideWhenUsed="0" w:uiPriority="64" w:semiHidden="0" w:name="Colorful Grid Accent 3"/>
    <w:lsdException w:unhideWhenUsed="0" w:uiPriority="65" w:semiHidden="0" w:name="Light Shading Accent 4"/>
    <w:lsdException w:unhideWhenUsed="0" w:uiPriority="66" w:semiHidden="0" w:name="Light List Accent 4"/>
    <w:lsdException w:unhideWhenUsed="0" w:uiPriority="67" w:semiHidden="0" w:name="Light Grid Accent 4"/>
    <w:lsdException w:unhideWhenUsed="0" w:uiPriority="68" w:semiHidden="0" w:name="Medium Shading 1 Accent 4"/>
    <w:lsdException w:unhideWhenUsed="0" w:uiPriority="69" w:semiHidden="0" w:name="Medium Shading 2 Accent 4"/>
    <w:lsdException w:unhideWhenUsed="0" w:uiPriority="70" w:semiHidden="0" w:name="Medium List 1 Accent 4"/>
    <w:lsdException w:unhideWhenUsed="0" w:uiPriority="71" w:semiHidden="0" w:name="Medium List 2 Accent 4"/>
    <w:lsdException w:unhideWhenUsed="0" w:uiPriority="72" w:semiHidden="0" w:name="Medium Grid 1 Accent 4"/>
    <w:lsdException w:unhideWhenUsed="0" w:uiPriority="73" w:semiHidden="0" w:name="Medium Grid 2 Accent 4"/>
    <w:lsdException w:unhideWhenUsed="0" w:uiPriority="60" w:semiHidden="0" w:name="Medium Grid 3 Accent 4"/>
    <w:lsdException w:unhideWhenUsed="0" w:uiPriority="61" w:semiHidden="0" w:name="Dark List Accent 4"/>
    <w:lsdException w:unhideWhenUsed="0" w:uiPriority="62" w:semiHidden="0" w:name="Colorful Shading Accent 4"/>
    <w:lsdException w:unhideWhenUsed="0" w:uiPriority="63" w:semiHidden="0" w:name="Colorful List Accent 4"/>
    <w:lsdException w:unhideWhenUsed="0" w:uiPriority="64" w:semiHidden="0" w:name="Colorful Grid Accent 4"/>
    <w:lsdException w:unhideWhenUsed="0" w:uiPriority="65" w:semiHidden="0" w:name="Light Shading Accent 5"/>
    <w:lsdException w:unhideWhenUsed="0" w:uiPriority="66" w:semiHidden="0" w:name="Light List Accent 5"/>
    <w:lsdException w:unhideWhenUsed="0" w:uiPriority="67" w:semiHidden="0" w:name="Light Grid Accent 5"/>
    <w:lsdException w:unhideWhenUsed="0" w:uiPriority="68" w:semiHidden="0" w:name="Medium Shading 1 Accent 5"/>
    <w:lsdException w:unhideWhenUsed="0" w:uiPriority="69" w:semiHidden="0" w:name="Medium Shading 2 Accent 5"/>
    <w:lsdException w:unhideWhenUsed="0" w:uiPriority="70" w:semiHidden="0" w:name="Medium List 1 Accent 5"/>
    <w:lsdException w:unhideWhenUsed="0" w:uiPriority="71" w:semiHidden="0" w:name="Medium List 2 Accent 5"/>
    <w:lsdException w:unhideWhenUsed="0" w:uiPriority="72" w:semiHidden="0" w:name="Medium Grid 1 Accent 5"/>
    <w:lsdException w:unhideWhenUsed="0" w:uiPriority="73" w:semiHidden="0" w:name="Medium Grid 2 Accent 5"/>
    <w:lsdException w:unhideWhenUsed="0" w:uiPriority="60" w:semiHidden="0" w:name="Medium Grid 3 Accent 5"/>
    <w:lsdException w:unhideWhenUsed="0" w:uiPriority="61" w:semiHidden="0" w:name="Dark List Accent 5"/>
    <w:lsdException w:unhideWhenUsed="0" w:uiPriority="62" w:semiHidden="0" w:name="Colorful Shading Accent 5"/>
    <w:lsdException w:unhideWhenUsed="0" w:uiPriority="63" w:semiHidden="0" w:name="Colorful List Accent 5"/>
    <w:lsdException w:unhideWhenUsed="0" w:uiPriority="64" w:semiHidden="0" w:name="Colorful Grid Accent 5"/>
    <w:lsdException w:unhideWhenUsed="0" w:uiPriority="65" w:semiHidden="0" w:name="Light Shading Accent 6"/>
    <w:lsdException w:unhideWhenUsed="0" w:uiPriority="66" w:semiHidden="0" w:name="Light List Accent 6"/>
    <w:lsdException w:unhideWhenUsed="0" w:uiPriority="67" w:semiHidden="0" w:name="Light Grid Accent 6"/>
    <w:lsdException w:unhideWhenUsed="0" w:uiPriority="68" w:semiHidden="0" w:name="Medium Shading 1 Accent 6"/>
    <w:lsdException w:unhideWhenUsed="0" w:uiPriority="69" w:semiHidden="0" w:name="Medium Shading 2 Accent 6"/>
    <w:lsdException w:unhideWhenUsed="0" w:uiPriority="70" w:semiHidden="0" w:name="Medium List 1 Accent 6"/>
    <w:lsdException w:unhideWhenUsed="0" w:uiPriority="71" w:semiHidden="0" w:name="Medium List 2 Accent 6"/>
    <w:lsdException w:unhideWhenUsed="0" w:uiPriority="72" w:semiHidden="0" w:name="Medium Grid 1 Accent 6"/>
    <w:lsdException w:unhideWhenUsed="0" w:uiPriority="73" w:semiHidden="0" w:name="Medium Grid 2 Accent 6"/>
    <w:lsdException w:unhideWhenUsed="0" w:uiPriority="60" w:semiHidden="0" w:name="Medium Grid 3 Accent 6"/>
    <w:lsdException w:unhideWhenUsed="0" w:uiPriority="61" w:semiHidden="0" w:name="Dark List Accent 6"/>
    <w:lsdException w:unhideWhenUsed="0" w:uiPriority="62" w:semiHidden="0" w:name="Colorful Shading Accent 6"/>
    <w:lsdException w:unhideWhenUsed="0" w:uiPriority="63" w:semiHidden="0" w:name="Colorful List Accent 6"/>
    <w:lsdException w:unhideWhenUsed="0" w:uiPriority="64"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Footer Char"/>
    <w:link w:val="2"/>
    <w:uiPriority w:val="0"/>
    <w:rPr>
      <w:kern w:val="2"/>
      <w:sz w:val="18"/>
      <w:szCs w:val="18"/>
    </w:rPr>
  </w:style>
  <w:style w:type="character" w:customStyle="1" w:styleId="7">
    <w:name w:val="Header Char"/>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144</Words>
  <Characters>824</Characters>
  <Lines>6</Lines>
  <Paragraphs>1</Paragraphs>
  <TotalTime>0</TotalTime>
  <ScaleCrop>false</ScaleCrop>
  <LinksUpToDate>false</LinksUpToDate>
  <CharactersWithSpaces>967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2014-09-19T13:38:00Z</dcterms:created>
  <dc:creator>张环</dc:creator>
  <cp:lastModifiedBy>Administrator</cp:lastModifiedBy>
  <dcterms:modified xsi:type="dcterms:W3CDTF">2021-08-25T13:35:26Z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