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color w:val="000000"/>
          <w:sz w:val="84"/>
          <w:szCs w:val="84"/>
        </w:rPr>
      </w:pPr>
      <w:bookmarkStart w:id="0" w:name="_GoBack"/>
      <w:bookmarkEnd w:id="0"/>
    </w:p>
    <w:p>
      <w:pPr>
        <w:rPr>
          <w:color w:val="000000"/>
          <w:sz w:val="84"/>
          <w:szCs w:val="84"/>
        </w:rPr>
      </w:pPr>
    </w:p>
    <w:p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2022年</w:t>
      </w:r>
      <w:r>
        <w:rPr>
          <w:b/>
          <w:color w:val="000000"/>
          <w:sz w:val="52"/>
          <w:szCs w:val="52"/>
        </w:rPr>
        <w:t>暨南大学金融（专业学位）</w:t>
      </w:r>
    </w:p>
    <w:p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硕士研究生入学考试</w:t>
      </w:r>
    </w:p>
    <w:p>
      <w:pPr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金融学综合</w:t>
      </w:r>
    </w:p>
    <w:p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44"/>
          <w:szCs w:val="44"/>
        </w:rPr>
        <w:t>考试大纲</w:t>
      </w:r>
    </w:p>
    <w:p>
      <w:pPr>
        <w:jc w:val="center"/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52"/>
          <w:szCs w:val="52"/>
        </w:rPr>
      </w:pPr>
    </w:p>
    <w:p>
      <w:pPr>
        <w:jc w:val="center"/>
        <w:rPr>
          <w:b/>
          <w:color w:val="000000"/>
          <w:sz w:val="52"/>
          <w:szCs w:val="52"/>
        </w:rPr>
      </w:pPr>
    </w:p>
    <w:p>
      <w:pPr>
        <w:rPr>
          <w:b/>
          <w:color w:val="000000"/>
          <w:sz w:val="52"/>
          <w:szCs w:val="52"/>
        </w:rPr>
      </w:pPr>
    </w:p>
    <w:p>
      <w:pPr>
        <w:rPr>
          <w:b/>
          <w:color w:val="000000"/>
          <w:sz w:val="52"/>
          <w:szCs w:val="52"/>
        </w:rPr>
      </w:pPr>
    </w:p>
    <w:p>
      <w:pPr>
        <w:rPr>
          <w:b/>
          <w:color w:val="000000"/>
          <w:sz w:val="52"/>
          <w:szCs w:val="52"/>
        </w:rPr>
      </w:pPr>
    </w:p>
    <w:p>
      <w:pPr>
        <w:rPr>
          <w:rFonts w:hint="eastAsia"/>
          <w:b/>
          <w:color w:val="000000"/>
          <w:sz w:val="52"/>
          <w:szCs w:val="52"/>
        </w:rPr>
      </w:pPr>
    </w:p>
    <w:p>
      <w:pPr>
        <w:spacing w:line="360" w:lineRule="auto"/>
        <w:ind w:firstLine="420"/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                                                                       </w:t>
      </w:r>
    </w:p>
    <w:p>
      <w:pPr>
        <w:spacing w:before="312" w:beforeLines="100" w:after="312" w:afterLines="10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Ⅰ．考查目标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金融学综合考试涵盖微观经济学与宏观经济学、货币</w:t>
      </w:r>
      <w:r>
        <w:rPr>
          <w:rFonts w:hint="eastAsia"/>
          <w:color w:val="000000"/>
        </w:rPr>
        <w:t>金融</w:t>
      </w:r>
      <w:r>
        <w:rPr>
          <w:color w:val="000000"/>
        </w:rPr>
        <w:t>学与国际金融学、投资学与公司金融等学科专业基础课程。要求考生理解和掌握上述专业基础课程的基本概念和基本理论，能够掌握和运用定性和定量的分析方法，具有较宽的专业知识面和较强的分析、解决问题的能力。</w:t>
      </w:r>
    </w:p>
    <w:p>
      <w:pPr>
        <w:spacing w:before="312" w:beforeLines="100" w:after="312" w:afterLines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Ⅱ．考试形式和试卷结构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一、试卷满分及考试时间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本试卷满分为150分，考试时间为180分钟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二、答题方式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答题方式为闭卷、笔试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三、试卷内容结构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简答题3题，每题10分，共30分；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计算题6题，每题10分，共60分；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分析与论述题2题，每题30分，共60分。</w:t>
      </w:r>
    </w:p>
    <w:p>
      <w:pPr>
        <w:spacing w:before="312" w:beforeLines="100" w:after="312" w:afterLines="100"/>
        <w:jc w:val="center"/>
        <w:rPr>
          <w:b/>
          <w:color w:val="000000"/>
          <w:szCs w:val="21"/>
        </w:rPr>
      </w:pPr>
      <w:r>
        <w:rPr>
          <w:b/>
          <w:color w:val="000000"/>
          <w:sz w:val="28"/>
          <w:szCs w:val="28"/>
        </w:rPr>
        <w:t>III．考查范围</w:t>
      </w:r>
    </w:p>
    <w:p>
      <w:pPr>
        <w:pStyle w:val="2"/>
        <w:spacing w:before="312" w:beforeLines="100" w:after="312" w:afterLines="100"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微观经济学与宏观经济学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一、供给和需求的基本原理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供给和需求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市场机制与市场均衡的变动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供给和需求的弹性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政府干预——价格控制的效应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二、消费者行为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消费者选择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个人需求与市场需求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收入效应和替代效应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消费者剩余与网络外部性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三、生产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生产技术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一种可变投入要素（劳动）的生产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两种可变投入要素的生产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规模报酬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四、生产成本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成本的测度：哪些成本重要？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短期成本与长期成本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长期与短期成本曲线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两种产品的生产——范围经济 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五、利润最大化和竞争性供给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完全竞争市场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边际收益、边际成本和利润最大化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选择短期产量与竞争性厂商及市场的短期供给曲线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长期产量选择与行业的长期供给曲线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六、竞争性市场分析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竞争性市场的效率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最低价格、价格支持和生产配额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进口配额与关税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征税或补贴的影响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七、市场势力：垄断与买方垄断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垄断势力的来源与社会成本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买方垄断与买方垄断势力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限制市场势力：反托拉斯法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有市场势力的定价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八、垄断竞争和寡头垄断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垄断竞争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寡头垄断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价格竞争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博弈论和竞争策略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九、投入要素市场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竞争性要素市场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竞争性要素市场的均衡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买方垄断势力的要素市场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有垄断势力时的要素市场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十、一般均衡与经济效率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一般均衡分析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交换与生产的效率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信息不对称市场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外部性与公共品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十一、宏观经济数据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国内生产总值：基本概念、核算方法和核算体系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消费者价格指数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失业率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十二、国民收入的来源与分配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长期中国民收入的决定和分配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总需求的构成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产品和劳务市场及可贷资金市场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挤出效应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十</w:t>
      </w:r>
      <w:r>
        <w:rPr>
          <w:rFonts w:hint="eastAsia"/>
          <w:b/>
          <w:color w:val="000000"/>
        </w:rPr>
        <w:t>三</w:t>
      </w:r>
      <w:r>
        <w:rPr>
          <w:b/>
          <w:color w:val="000000"/>
        </w:rPr>
        <w:t>、经济增长理论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新古典增长理论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新增长理论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十</w:t>
      </w:r>
      <w:r>
        <w:rPr>
          <w:rFonts w:hint="eastAsia"/>
          <w:b/>
          <w:color w:val="000000"/>
        </w:rPr>
        <w:t>四、</w:t>
      </w:r>
      <w:r>
        <w:rPr>
          <w:b/>
          <w:color w:val="000000"/>
        </w:rPr>
        <w:t>经济波动导论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宏观经济学的时间范畴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总需求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总供给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稳定化政策</w:t>
      </w:r>
    </w:p>
    <w:p>
      <w:pPr>
        <w:spacing w:line="360" w:lineRule="exact"/>
        <w:rPr>
          <w:b/>
          <w:color w:val="000000"/>
        </w:rPr>
      </w:pPr>
      <w:r>
        <w:rPr>
          <w:b/>
          <w:color w:val="000000"/>
        </w:rPr>
        <w:t>十</w:t>
      </w:r>
      <w:r>
        <w:rPr>
          <w:rFonts w:hint="eastAsia"/>
          <w:b/>
          <w:color w:val="000000"/>
        </w:rPr>
        <w:t>五</w:t>
      </w:r>
      <w:r>
        <w:rPr>
          <w:b/>
          <w:color w:val="000000"/>
        </w:rPr>
        <w:t>、IS-LM模型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产品市场与IS曲线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货币市场与LM曲线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产品市场与货币市场的一般均衡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IS-LM模型的运用</w:t>
      </w:r>
    </w:p>
    <w:p>
      <w:pPr>
        <w:spacing w:line="360" w:lineRule="exac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十六</w:t>
      </w:r>
      <w:r>
        <w:rPr>
          <w:b/>
          <w:color w:val="000000"/>
        </w:rPr>
        <w:t>、经济学前沿动态与经济热点分析</w:t>
      </w:r>
    </w:p>
    <w:p>
      <w:pPr>
        <w:pStyle w:val="2"/>
        <w:spacing w:before="312" w:beforeLines="100" w:after="312" w:afterLines="100" w:line="280" w:lineRule="exact"/>
        <w:jc w:val="center"/>
        <w:rPr>
          <w:rFonts w:hint="eastAsia"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货币金融学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</w:rPr>
        <w:t>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国际金融学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一、货币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货币的职能与发展  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货币形式及其演变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货币在经济中的作用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货币制度  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货币流通及货币层次的划分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二、利率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利率的含义、分类及计算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利率的作用   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利率决定理论 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利率结构理论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我国利率体系与利率市场化改革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三、金融市场与金融机构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金融市场及其要素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金融市场的信息不对称问题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金融机构的功能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银行和非银行金融机构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四、商业银行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商业银行主要业务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商业银行管理的基本原则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商业银行流动性管理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商业银行资产负债管理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商业银行资本充足性管理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商业银行信用风险管理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商业银行利率风险管理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五、中央银行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中央银行的产生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中央银行的职能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中央银行的类型与独立性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中央银行的业务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六、货币供给与需求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存款货币创造机制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货币供给影响因素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货币供给模型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货币需求的含义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传统货币数量论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凯恩斯的流动性偏好理论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弗里德曼的现代货币数量论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七、货币政策与传导机制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货币政策与目标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货币政策工具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货币政策操作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货币政策传导机制和中介目标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八、通货膨胀与通货紧缩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通货膨胀的定义与类型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通货膨胀的原因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通货膨胀的社会经济效应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通货膨胀的治理对策 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通货紧缩</w:t>
      </w:r>
    </w:p>
    <w:p>
      <w:pPr>
        <w:spacing w:line="360" w:lineRule="exact"/>
        <w:rPr>
          <w:b/>
          <w:bCs/>
          <w:color w:val="000000"/>
        </w:rPr>
      </w:pPr>
      <w:r>
        <w:rPr>
          <w:b/>
          <w:bCs/>
          <w:color w:val="000000"/>
        </w:rPr>
        <w:t>九、金融危机与金融监督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金融风险与金融危机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金融监管的经济学分析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存款保险制度和最后贷款人制度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巴塞尔协议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>我国金融监管体系</w:t>
      </w:r>
    </w:p>
    <w:p>
      <w:pPr>
        <w:spacing w:line="360" w:lineRule="exact"/>
        <w:rPr>
          <w:b/>
          <w:color w:val="000000"/>
        </w:rPr>
      </w:pPr>
      <w:r>
        <w:rPr>
          <w:rFonts w:hint="eastAsia"/>
          <w:b/>
          <w:color w:val="000000"/>
        </w:rPr>
        <w:t>十</w:t>
      </w:r>
      <w:r>
        <w:rPr>
          <w:b/>
          <w:color w:val="000000"/>
        </w:rPr>
        <w:t xml:space="preserve">、 国际收支 </w:t>
      </w:r>
    </w:p>
    <w:p>
      <w:pPr>
        <w:spacing w:line="360" w:lineRule="exact"/>
        <w:ind w:left="420" w:leftChars="200" w:firstLine="105" w:firstLineChars="50"/>
        <w:rPr>
          <w:color w:val="000000"/>
        </w:rPr>
      </w:pPr>
      <w:r>
        <w:rPr>
          <w:color w:val="000000"/>
        </w:rPr>
        <w:t xml:space="preserve">国际货币与人民币国际化问题 </w:t>
      </w:r>
    </w:p>
    <w:p>
      <w:pPr>
        <w:pStyle w:val="2"/>
        <w:spacing w:line="360" w:lineRule="exact"/>
        <w:ind w:left="420" w:leftChars="200" w:firstLine="105" w:firstLineChars="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国际收支账户与国际收支分析 </w:t>
      </w:r>
    </w:p>
    <w:p>
      <w:pPr>
        <w:pStyle w:val="2"/>
        <w:spacing w:line="360" w:lineRule="exact"/>
        <w:ind w:left="420" w:leftChars="200" w:firstLine="105" w:firstLineChars="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国际收支决定的理论 </w:t>
      </w:r>
    </w:p>
    <w:p>
      <w:pPr>
        <w:pStyle w:val="2"/>
        <w:spacing w:line="360" w:lineRule="exact"/>
        <w:ind w:left="420" w:leftChars="200" w:firstLine="105" w:firstLineChars="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国际收支调节的理论及政策实践 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hAnsi="Times New Roman" w:cs="Times New Roman"/>
          <w:b/>
          <w:color w:val="000000"/>
        </w:rPr>
        <w:t>十一</w:t>
      </w:r>
      <w:r>
        <w:rPr>
          <w:rFonts w:ascii="Times New Roman" w:hAnsi="Times New Roman" w:cs="Times New Roman"/>
          <w:b/>
          <w:color w:val="000000"/>
        </w:rPr>
        <w:t xml:space="preserve">、外汇与汇率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外汇和汇率的相关概念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外汇市场的基础知识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汇率决定理论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汇率制度与汇率政策 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hAnsi="Times New Roman" w:cs="Times New Roman"/>
          <w:b/>
          <w:color w:val="000000"/>
        </w:rPr>
        <w:t>十二</w:t>
      </w:r>
      <w:r>
        <w:rPr>
          <w:rFonts w:ascii="Times New Roman" w:hAnsi="Times New Roman" w:cs="Times New Roman"/>
          <w:b/>
          <w:color w:val="000000"/>
        </w:rPr>
        <w:t xml:space="preserve">、国际金融市场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国际金融市场的概念、特征与构成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欧洲货币市场的特征及影响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国际金融创新的概念及主要的创新工具 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hAnsi="Times New Roman" w:cs="Times New Roman"/>
          <w:b/>
          <w:color w:val="000000"/>
        </w:rPr>
        <w:t>十三</w:t>
      </w:r>
      <w:r>
        <w:rPr>
          <w:rFonts w:ascii="Times New Roman" w:hAnsi="Times New Roman" w:cs="Times New Roman"/>
          <w:b/>
          <w:color w:val="000000"/>
        </w:rPr>
        <w:t xml:space="preserve">、国际资本流动与国际金融危机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国际资本流动的概念与方式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国际资本流动的有关理论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国际金融风险与国际金融危机 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hAnsi="Times New Roman" w:cs="Times New Roman"/>
          <w:b/>
          <w:color w:val="000000"/>
        </w:rPr>
        <w:t>十四</w:t>
      </w:r>
      <w:r>
        <w:rPr>
          <w:rFonts w:ascii="Times New Roman" w:hAnsi="Times New Roman" w:cs="Times New Roman"/>
          <w:b/>
          <w:color w:val="000000"/>
        </w:rPr>
        <w:t xml:space="preserve">、开放经济下的宏观经济政策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经济内外均衡的相互关系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开放经济条件下的政策目标、工具和调控原理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开放经济下的宏观经济政策及其搭配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开放条件下宏观经济政策的国际协调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国际货币体系</w:t>
      </w:r>
    </w:p>
    <w:p>
      <w:pPr>
        <w:pStyle w:val="2"/>
        <w:spacing w:before="312" w:beforeLines="100" w:after="312" w:afterLines="100" w:line="280" w:lineRule="exact"/>
        <w:jc w:val="center"/>
        <w:rPr>
          <w:rFonts w:hint="eastAsia"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投资学与公司金融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一、证券市场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货币市场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债券市场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股票市场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衍生品市场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二、金融产品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债券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股票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衍生品：远期、</w:t>
      </w:r>
      <w:r>
        <w:rPr>
          <w:rFonts w:ascii="Times New Roman" w:hAnsi="Times New Roman" w:cs="Times New Roman"/>
          <w:color w:val="000000"/>
        </w:rPr>
        <w:t>期货</w:t>
      </w:r>
      <w:r>
        <w:rPr>
          <w:rFonts w:hint="eastAsia"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期权</w:t>
      </w:r>
      <w:r>
        <w:rPr>
          <w:rFonts w:hint="eastAsia"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互换</w:t>
      </w:r>
      <w:r>
        <w:rPr>
          <w:rFonts w:hint="eastAsia" w:ascii="Times New Roman" w:hAnsi="Times New Roman" w:cs="Times New Roman"/>
          <w:color w:val="000000"/>
        </w:rPr>
        <w:t>等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三、证券的价值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现金流与折现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债券估值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股票估值</w:t>
      </w:r>
    </w:p>
    <w:p>
      <w:pPr>
        <w:pStyle w:val="2"/>
        <w:spacing w:line="360" w:lineRule="exact"/>
        <w:ind w:left="420" w:leftChars="200"/>
        <w:rPr>
          <w:rFonts w:hint="eastAsia"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衍生品定价：期货定价、</w:t>
      </w:r>
      <w:r>
        <w:rPr>
          <w:rFonts w:ascii="Times New Roman" w:hAnsi="Times New Roman" w:cs="Times New Roman"/>
          <w:color w:val="000000"/>
        </w:rPr>
        <w:t>期权</w:t>
      </w:r>
      <w:r>
        <w:rPr>
          <w:rFonts w:hint="eastAsia" w:ascii="Times New Roman" w:hAnsi="Times New Roman" w:cs="Times New Roman"/>
          <w:color w:val="000000"/>
        </w:rPr>
        <w:t>定价、互换定价等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四、风险与资金成本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风险与回报的测算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马可维茨投资组合理论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资本市场线与证券市场线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资本资产定价模型与套利定价模型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资金成本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五、有效市场假说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有效市场的概念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有效市场的形式</w:t>
      </w:r>
    </w:p>
    <w:p>
      <w:pPr>
        <w:pStyle w:val="2"/>
        <w:spacing w:line="360" w:lineRule="exact"/>
        <w:ind w:left="420" w:leftChars="200"/>
        <w:rPr>
          <w:rFonts w:hint="eastAsia"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有效市场的检验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cs="Times New Roman"/>
          <w:b/>
          <w:bCs/>
          <w:color w:val="000000"/>
        </w:rPr>
        <w:t>六</w:t>
      </w:r>
      <w:r>
        <w:rPr>
          <w:rFonts w:ascii="Times New Roman" w:hAnsi="Times New Roman" w:cs="Times New Roman"/>
          <w:b/>
          <w:bCs/>
          <w:color w:val="000000"/>
        </w:rPr>
        <w:t xml:space="preserve">、公司制度 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现代企业的组织形式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现代公司的组织架构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公司决策的目标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公司决策中的利益冲突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cs="Times New Roman"/>
          <w:b/>
          <w:bCs/>
          <w:color w:val="000000"/>
        </w:rPr>
        <w:t>七</w:t>
      </w:r>
      <w:r>
        <w:rPr>
          <w:rFonts w:ascii="Times New Roman" w:hAnsi="Times New Roman" w:cs="Times New Roman"/>
          <w:b/>
          <w:bCs/>
          <w:color w:val="000000"/>
        </w:rPr>
        <w:t>、财务报表分析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资产负债表和损益表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财务比率计算</w:t>
      </w:r>
    </w:p>
    <w:p>
      <w:pPr>
        <w:pStyle w:val="2"/>
        <w:spacing w:line="360" w:lineRule="exact"/>
        <w:ind w:left="420" w:leftChars="200"/>
        <w:rPr>
          <w:rFonts w:hint="eastAsia"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财务比率分析，包括杜邦分析、现金流恒等式、增长率、外部融资需求等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cs="Times New Roman"/>
          <w:b/>
          <w:bCs/>
          <w:color w:val="000000"/>
        </w:rPr>
        <w:t>八</w:t>
      </w:r>
      <w:r>
        <w:rPr>
          <w:rFonts w:ascii="Times New Roman" w:hAnsi="Times New Roman" w:cs="Times New Roman"/>
          <w:b/>
          <w:bCs/>
          <w:color w:val="000000"/>
        </w:rPr>
        <w:t>、资本预算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常用的资本预算投资准则，包括AAR、PP、NPV、IRR、PI</w:t>
      </w:r>
      <w:r>
        <w:rPr>
          <w:rFonts w:hint="eastAsia" w:ascii="Times New Roman" w:hAnsi="Times New Roman" w:cs="Times New Roman"/>
          <w:color w:val="000000"/>
        </w:rPr>
        <w:t>等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各投资准则的优缺点比较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资本预算需要遵循的基本原则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资本预算的执行流程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沉没成本、机会成本、外部性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营运现金流的计算方法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固定资产投资的处理</w:t>
      </w:r>
    </w:p>
    <w:p>
      <w:pPr>
        <w:pStyle w:val="2"/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cs="Times New Roman"/>
          <w:b/>
          <w:bCs/>
          <w:color w:val="000000"/>
        </w:rPr>
        <w:t>九</w:t>
      </w:r>
      <w:r>
        <w:rPr>
          <w:rFonts w:ascii="Times New Roman" w:hAnsi="Times New Roman" w:cs="Times New Roman"/>
          <w:b/>
          <w:bCs/>
          <w:color w:val="000000"/>
        </w:rPr>
        <w:t>、资本结构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长期融资工具，包括普通股、优先股以及长期债务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MM定理，包括无税版和有税版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权衡理论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优序理论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最优杠杆率的决策</w:t>
      </w:r>
    </w:p>
    <w:p>
      <w:pPr>
        <w:pStyle w:val="2"/>
        <w:spacing w:line="360" w:lineRule="exact"/>
        <w:ind w:left="420" w:left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股利政策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F"/>
    <w:rsid w:val="0000669E"/>
    <w:rsid w:val="00020B09"/>
    <w:rsid w:val="00023A5C"/>
    <w:rsid w:val="00032673"/>
    <w:rsid w:val="00040EE5"/>
    <w:rsid w:val="00042404"/>
    <w:rsid w:val="000564EA"/>
    <w:rsid w:val="00056F34"/>
    <w:rsid w:val="00065031"/>
    <w:rsid w:val="00076E48"/>
    <w:rsid w:val="00076E6E"/>
    <w:rsid w:val="00091E36"/>
    <w:rsid w:val="000A4C6A"/>
    <w:rsid w:val="000A671C"/>
    <w:rsid w:val="000B18A3"/>
    <w:rsid w:val="000C79FF"/>
    <w:rsid w:val="000E236D"/>
    <w:rsid w:val="000E76E2"/>
    <w:rsid w:val="00142420"/>
    <w:rsid w:val="00162903"/>
    <w:rsid w:val="0016739C"/>
    <w:rsid w:val="00184B60"/>
    <w:rsid w:val="00185591"/>
    <w:rsid w:val="001B008A"/>
    <w:rsid w:val="001E1FFD"/>
    <w:rsid w:val="001F32CA"/>
    <w:rsid w:val="00200EF0"/>
    <w:rsid w:val="00224BF2"/>
    <w:rsid w:val="00227524"/>
    <w:rsid w:val="00235580"/>
    <w:rsid w:val="00237F68"/>
    <w:rsid w:val="00241866"/>
    <w:rsid w:val="00242429"/>
    <w:rsid w:val="00246D17"/>
    <w:rsid w:val="00261369"/>
    <w:rsid w:val="0026291A"/>
    <w:rsid w:val="00271373"/>
    <w:rsid w:val="00281455"/>
    <w:rsid w:val="002C40FA"/>
    <w:rsid w:val="002D40D1"/>
    <w:rsid w:val="002E594F"/>
    <w:rsid w:val="002F3800"/>
    <w:rsid w:val="00303E34"/>
    <w:rsid w:val="00316B0B"/>
    <w:rsid w:val="00325069"/>
    <w:rsid w:val="003346F8"/>
    <w:rsid w:val="003357D7"/>
    <w:rsid w:val="00336424"/>
    <w:rsid w:val="00340329"/>
    <w:rsid w:val="00346A80"/>
    <w:rsid w:val="003517C0"/>
    <w:rsid w:val="00361EA9"/>
    <w:rsid w:val="00366033"/>
    <w:rsid w:val="003B4AF3"/>
    <w:rsid w:val="003B53EC"/>
    <w:rsid w:val="003E0EA5"/>
    <w:rsid w:val="003F1F6A"/>
    <w:rsid w:val="003F44B6"/>
    <w:rsid w:val="0041705E"/>
    <w:rsid w:val="004202DF"/>
    <w:rsid w:val="00432941"/>
    <w:rsid w:val="00432D84"/>
    <w:rsid w:val="00444221"/>
    <w:rsid w:val="00450FF2"/>
    <w:rsid w:val="00473FDE"/>
    <w:rsid w:val="004845A5"/>
    <w:rsid w:val="00484960"/>
    <w:rsid w:val="0048590F"/>
    <w:rsid w:val="00487269"/>
    <w:rsid w:val="00490FBA"/>
    <w:rsid w:val="004B3B3B"/>
    <w:rsid w:val="004B7EE0"/>
    <w:rsid w:val="004F649A"/>
    <w:rsid w:val="00512EC4"/>
    <w:rsid w:val="00513E76"/>
    <w:rsid w:val="00523B94"/>
    <w:rsid w:val="005268C7"/>
    <w:rsid w:val="00561D27"/>
    <w:rsid w:val="005714A2"/>
    <w:rsid w:val="00574062"/>
    <w:rsid w:val="00584132"/>
    <w:rsid w:val="00584A3B"/>
    <w:rsid w:val="005913E9"/>
    <w:rsid w:val="0059277C"/>
    <w:rsid w:val="005A2778"/>
    <w:rsid w:val="005A7F7A"/>
    <w:rsid w:val="005E5E38"/>
    <w:rsid w:val="005F57BB"/>
    <w:rsid w:val="006016BC"/>
    <w:rsid w:val="006078E1"/>
    <w:rsid w:val="00607B09"/>
    <w:rsid w:val="0062180D"/>
    <w:rsid w:val="006361F9"/>
    <w:rsid w:val="00636885"/>
    <w:rsid w:val="00643F69"/>
    <w:rsid w:val="00645176"/>
    <w:rsid w:val="00653DF2"/>
    <w:rsid w:val="00662648"/>
    <w:rsid w:val="0066289B"/>
    <w:rsid w:val="00677219"/>
    <w:rsid w:val="00685E67"/>
    <w:rsid w:val="006B1095"/>
    <w:rsid w:val="006B1CFD"/>
    <w:rsid w:val="006B6E26"/>
    <w:rsid w:val="006C7E25"/>
    <w:rsid w:val="006E18B7"/>
    <w:rsid w:val="006F4378"/>
    <w:rsid w:val="00701AEB"/>
    <w:rsid w:val="00705FB2"/>
    <w:rsid w:val="00714063"/>
    <w:rsid w:val="00741AEF"/>
    <w:rsid w:val="007518E1"/>
    <w:rsid w:val="00752984"/>
    <w:rsid w:val="00766CDE"/>
    <w:rsid w:val="00770DA0"/>
    <w:rsid w:val="007A0687"/>
    <w:rsid w:val="007A342A"/>
    <w:rsid w:val="007B5809"/>
    <w:rsid w:val="007B697A"/>
    <w:rsid w:val="007C6064"/>
    <w:rsid w:val="007E4B2D"/>
    <w:rsid w:val="007F361F"/>
    <w:rsid w:val="007F6227"/>
    <w:rsid w:val="007F6DA1"/>
    <w:rsid w:val="00802439"/>
    <w:rsid w:val="00816651"/>
    <w:rsid w:val="00827A12"/>
    <w:rsid w:val="00830206"/>
    <w:rsid w:val="00841277"/>
    <w:rsid w:val="00842135"/>
    <w:rsid w:val="00844CDF"/>
    <w:rsid w:val="00860901"/>
    <w:rsid w:val="00883C53"/>
    <w:rsid w:val="008845DB"/>
    <w:rsid w:val="008875C6"/>
    <w:rsid w:val="0089015D"/>
    <w:rsid w:val="008A2779"/>
    <w:rsid w:val="008B4B97"/>
    <w:rsid w:val="008B6F48"/>
    <w:rsid w:val="008C2D03"/>
    <w:rsid w:val="008E7922"/>
    <w:rsid w:val="008F2B47"/>
    <w:rsid w:val="00901C91"/>
    <w:rsid w:val="009056A0"/>
    <w:rsid w:val="00906D68"/>
    <w:rsid w:val="0091346E"/>
    <w:rsid w:val="0092203B"/>
    <w:rsid w:val="00932E49"/>
    <w:rsid w:val="00950931"/>
    <w:rsid w:val="00951990"/>
    <w:rsid w:val="00952C67"/>
    <w:rsid w:val="00962865"/>
    <w:rsid w:val="00967E84"/>
    <w:rsid w:val="00986A71"/>
    <w:rsid w:val="009A272C"/>
    <w:rsid w:val="009B23FB"/>
    <w:rsid w:val="009D055F"/>
    <w:rsid w:val="009D3D4F"/>
    <w:rsid w:val="009D48B0"/>
    <w:rsid w:val="009E1772"/>
    <w:rsid w:val="009E1BA2"/>
    <w:rsid w:val="00A0308C"/>
    <w:rsid w:val="00A158E2"/>
    <w:rsid w:val="00A22454"/>
    <w:rsid w:val="00A42A89"/>
    <w:rsid w:val="00A51797"/>
    <w:rsid w:val="00A56037"/>
    <w:rsid w:val="00A730C4"/>
    <w:rsid w:val="00A85AE3"/>
    <w:rsid w:val="00A86E06"/>
    <w:rsid w:val="00A87904"/>
    <w:rsid w:val="00AA0721"/>
    <w:rsid w:val="00AA6D78"/>
    <w:rsid w:val="00AB0034"/>
    <w:rsid w:val="00AB6F7D"/>
    <w:rsid w:val="00AE2AFC"/>
    <w:rsid w:val="00AE5C0E"/>
    <w:rsid w:val="00AF27AA"/>
    <w:rsid w:val="00AF61D7"/>
    <w:rsid w:val="00AF6A17"/>
    <w:rsid w:val="00B00AAC"/>
    <w:rsid w:val="00B04362"/>
    <w:rsid w:val="00B11EB9"/>
    <w:rsid w:val="00B121C4"/>
    <w:rsid w:val="00B1741A"/>
    <w:rsid w:val="00B2422D"/>
    <w:rsid w:val="00B3333B"/>
    <w:rsid w:val="00B42DFB"/>
    <w:rsid w:val="00B52B69"/>
    <w:rsid w:val="00B6038D"/>
    <w:rsid w:val="00B80FD5"/>
    <w:rsid w:val="00B96254"/>
    <w:rsid w:val="00BA226C"/>
    <w:rsid w:val="00BB3A29"/>
    <w:rsid w:val="00BD3F2F"/>
    <w:rsid w:val="00BF6531"/>
    <w:rsid w:val="00C02DCB"/>
    <w:rsid w:val="00C161E2"/>
    <w:rsid w:val="00C36DB8"/>
    <w:rsid w:val="00C70EA9"/>
    <w:rsid w:val="00C77785"/>
    <w:rsid w:val="00C80DEA"/>
    <w:rsid w:val="00C836C3"/>
    <w:rsid w:val="00CA5149"/>
    <w:rsid w:val="00CB2CE6"/>
    <w:rsid w:val="00CC4E72"/>
    <w:rsid w:val="00CD386A"/>
    <w:rsid w:val="00CE665C"/>
    <w:rsid w:val="00CF17E4"/>
    <w:rsid w:val="00D03AEA"/>
    <w:rsid w:val="00D05F36"/>
    <w:rsid w:val="00D2316B"/>
    <w:rsid w:val="00D4410B"/>
    <w:rsid w:val="00D47EF8"/>
    <w:rsid w:val="00D526C1"/>
    <w:rsid w:val="00D60213"/>
    <w:rsid w:val="00D61ADC"/>
    <w:rsid w:val="00D7155D"/>
    <w:rsid w:val="00D86DED"/>
    <w:rsid w:val="00D8717C"/>
    <w:rsid w:val="00D906FA"/>
    <w:rsid w:val="00DA625F"/>
    <w:rsid w:val="00DA7820"/>
    <w:rsid w:val="00DD0A4E"/>
    <w:rsid w:val="00DF5F16"/>
    <w:rsid w:val="00E07CEC"/>
    <w:rsid w:val="00E56AD4"/>
    <w:rsid w:val="00E57281"/>
    <w:rsid w:val="00E5760F"/>
    <w:rsid w:val="00E60F82"/>
    <w:rsid w:val="00E62C24"/>
    <w:rsid w:val="00E62C81"/>
    <w:rsid w:val="00E64775"/>
    <w:rsid w:val="00E671AD"/>
    <w:rsid w:val="00E81AD4"/>
    <w:rsid w:val="00E906D8"/>
    <w:rsid w:val="00E965C5"/>
    <w:rsid w:val="00EB293A"/>
    <w:rsid w:val="00EC01DC"/>
    <w:rsid w:val="00EC44B5"/>
    <w:rsid w:val="00ED01F7"/>
    <w:rsid w:val="00EF04A2"/>
    <w:rsid w:val="00EF29A9"/>
    <w:rsid w:val="00F02399"/>
    <w:rsid w:val="00F3051B"/>
    <w:rsid w:val="00F5026F"/>
    <w:rsid w:val="00F750CA"/>
    <w:rsid w:val="00F77323"/>
    <w:rsid w:val="00F8566B"/>
    <w:rsid w:val="00F86B00"/>
    <w:rsid w:val="00F909AA"/>
    <w:rsid w:val="00FA5D46"/>
    <w:rsid w:val="00FA71A9"/>
    <w:rsid w:val="00FC01AB"/>
    <w:rsid w:val="00FF2813"/>
    <w:rsid w:val="3A056F82"/>
    <w:rsid w:val="50FC4CC0"/>
    <w:rsid w:val="51815BDC"/>
    <w:rsid w:val="58780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">
    <w:name w:val="style10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379</Words>
  <Characters>2165</Characters>
  <Lines>18</Lines>
  <Paragraphs>5</Paragraphs>
  <TotalTime>0</TotalTime>
  <ScaleCrop>false</ScaleCrop>
  <LinksUpToDate>false</LinksUpToDate>
  <CharactersWithSpaces>2539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2021-07-04T12:55:00Z</dcterms:created>
  <dc:creator>a</dc:creator>
  <cp:lastModifiedBy>Administrator</cp:lastModifiedBy>
  <cp:lastPrinted>2021-07-04T12:55:00Z</cp:lastPrinted>
  <dcterms:modified xsi:type="dcterms:W3CDTF">2021-08-27T02:50:32Z</dcterms:modified>
  <dc:title>经济学考试大纲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