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20" w:firstLineChars="100"/>
        <w:jc w:val="center"/>
        <w:rPr>
          <w:rFonts w:eastAsia="黑体"/>
          <w:color w:val="000000" w:themeColor="text1"/>
          <w:sz w:val="32"/>
          <w:szCs w:val="32"/>
          <w14:textFill>
            <w14:solidFill>
              <w14:schemeClr w14:val="tx1"/>
            </w14:solidFill>
          </w14:textFill>
        </w:rPr>
      </w:pPr>
      <w:bookmarkStart w:id="0" w:name="_GoBack"/>
      <w:r>
        <w:rPr>
          <w:rFonts w:hint="eastAsia" w:eastAsia="黑体"/>
          <w:color w:val="000000" w:themeColor="text1"/>
          <w:sz w:val="32"/>
          <w:szCs w:val="32"/>
          <w14:textFill>
            <w14:solidFill>
              <w14:schemeClr w14:val="tx1"/>
            </w14:solidFill>
          </w14:textFill>
        </w:rPr>
        <w:t>2</w:t>
      </w:r>
      <w:r>
        <w:rPr>
          <w:rFonts w:eastAsia="黑体"/>
          <w:color w:val="000000" w:themeColor="text1"/>
          <w:sz w:val="32"/>
          <w:szCs w:val="32"/>
          <w14:textFill>
            <w14:solidFill>
              <w14:schemeClr w14:val="tx1"/>
            </w14:solidFill>
          </w14:textFill>
        </w:rPr>
        <w:t>022</w:t>
      </w:r>
      <w:r>
        <w:rPr>
          <w:rFonts w:hint="eastAsia" w:eastAsia="黑体"/>
          <w:color w:val="000000" w:themeColor="text1"/>
          <w:sz w:val="32"/>
          <w:szCs w:val="32"/>
          <w14:textFill>
            <w14:solidFill>
              <w14:schemeClr w14:val="tx1"/>
            </w14:solidFill>
          </w14:textFill>
        </w:rPr>
        <w:t>年暨南大学研究生入学考试</w:t>
      </w:r>
    </w:p>
    <w:p>
      <w:pPr>
        <w:spacing w:line="360" w:lineRule="auto"/>
        <w:ind w:firstLine="320" w:firstLineChars="100"/>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《税务专业基础》（4</w:t>
      </w:r>
      <w:r>
        <w:rPr>
          <w:rFonts w:eastAsia="黑体"/>
          <w:color w:val="000000" w:themeColor="text1"/>
          <w:sz w:val="32"/>
          <w:szCs w:val="32"/>
          <w14:textFill>
            <w14:solidFill>
              <w14:schemeClr w14:val="tx1"/>
            </w14:solidFill>
          </w14:textFill>
        </w:rPr>
        <w:t>33</w:t>
      </w:r>
      <w:r>
        <w:rPr>
          <w:rFonts w:hint="eastAsia" w:eastAsia="黑体"/>
          <w:color w:val="000000" w:themeColor="text1"/>
          <w:sz w:val="32"/>
          <w:szCs w:val="32"/>
          <w14:textFill>
            <w14:solidFill>
              <w14:schemeClr w14:val="tx1"/>
            </w14:solidFill>
          </w14:textFill>
        </w:rPr>
        <w:t>）考试大纲</w:t>
      </w:r>
    </w:p>
    <w:p>
      <w:pPr>
        <w:spacing w:line="360" w:lineRule="auto"/>
        <w:jc w:val="center"/>
        <w:rPr>
          <w:rFonts w:eastAsiaTheme="minorEastAsia"/>
          <w:b/>
          <w:color w:val="000000" w:themeColor="text1"/>
          <w:sz w:val="32"/>
          <w:szCs w:val="32"/>
          <w14:textFill>
            <w14:solidFill>
              <w14:schemeClr w14:val="tx1"/>
            </w14:solidFill>
          </w14:textFill>
        </w:rPr>
      </w:pPr>
      <w:r>
        <w:rPr>
          <w:rFonts w:hint="eastAsia" w:eastAsiaTheme="minorEastAsia"/>
          <w:b/>
          <w:color w:val="000000" w:themeColor="text1"/>
          <w:sz w:val="32"/>
          <w:szCs w:val="32"/>
          <w14:textFill>
            <w14:solidFill>
              <w14:schemeClr w14:val="tx1"/>
            </w14:solidFill>
          </w14:textFill>
        </w:rPr>
        <w:t>（</w:t>
      </w:r>
      <w:r>
        <w:rPr>
          <w:rFonts w:eastAsiaTheme="minorEastAsia"/>
          <w:b/>
          <w:color w:val="000000" w:themeColor="text1"/>
          <w:sz w:val="32"/>
          <w:szCs w:val="32"/>
          <w14:textFill>
            <w14:solidFill>
              <w14:schemeClr w14:val="tx1"/>
            </w14:solidFill>
          </w14:textFill>
        </w:rPr>
        <w:t>20</w:t>
      </w:r>
      <w:r>
        <w:rPr>
          <w:rFonts w:hint="eastAsia" w:eastAsiaTheme="minorEastAsia"/>
          <w:b/>
          <w:color w:val="000000" w:themeColor="text1"/>
          <w:sz w:val="32"/>
          <w:szCs w:val="32"/>
          <w14:textFill>
            <w14:solidFill>
              <w14:schemeClr w14:val="tx1"/>
            </w14:solidFill>
          </w14:textFill>
        </w:rPr>
        <w:t>2</w:t>
      </w:r>
      <w:r>
        <w:rPr>
          <w:rFonts w:eastAsiaTheme="minorEastAsia"/>
          <w:b/>
          <w:color w:val="000000" w:themeColor="text1"/>
          <w:sz w:val="32"/>
          <w:szCs w:val="32"/>
          <w14:textFill>
            <w14:solidFill>
              <w14:schemeClr w14:val="tx1"/>
            </w14:solidFill>
          </w14:textFill>
        </w:rPr>
        <w:t>1</w:t>
      </w:r>
      <w:r>
        <w:rPr>
          <w:rFonts w:hint="eastAsia" w:eastAsiaTheme="minorEastAsia"/>
          <w:b/>
          <w:color w:val="000000" w:themeColor="text1"/>
          <w:sz w:val="32"/>
          <w:szCs w:val="32"/>
          <w14:textFill>
            <w14:solidFill>
              <w14:schemeClr w14:val="tx1"/>
            </w14:solidFill>
          </w14:textFill>
        </w:rPr>
        <w:t>年7月）</w:t>
      </w:r>
    </w:p>
    <w:p>
      <w:pPr>
        <w:spacing w:line="360" w:lineRule="auto"/>
        <w:ind w:firstLine="320" w:firstLineChars="100"/>
        <w:jc w:val="center"/>
        <w:rPr>
          <w:rFonts w:hint="eastAsia" w:eastAsia="黑体"/>
          <w:color w:val="000000" w:themeColor="text1"/>
          <w:sz w:val="32"/>
          <w:szCs w:val="32"/>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《税务专业基础》是全国税务硕士专业学位入学初试考试的专业基础课程。</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为了科学、规范地测评考生的税务专业基本素质和综合能力，根据税务硕士专业学位的特点，制订本考试大纲。</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本大纲供报考暨南大学税务硕士专业学位、参加全国研究生入学初试考试的考生使用。</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p>
    <w:p>
      <w:pPr>
        <w:spacing w:line="360" w:lineRule="auto"/>
        <w:ind w:firstLine="560" w:firstLineChars="200"/>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第一部分　考试说明</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《税务专业基础》考试内容由税收基本理论、中国税制及其应用、国际税收、税收征管和税收政策五个部分组成。</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考试目的是测试申请攻读税务硕士专业学位的本科生对税务专业基础的理论及制度的掌握程度，考查考生是否具备应用基本理论分析各种涉税经济现象、解决相关问题的能力，是否具有从事税收实践工作和研究税收问题的知识基础和潜质。</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考试要求达到高等学校优秀本科毕业生的水平，以保证被录取者具有较好的理论准备、科研基础与实践能力。</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p>
    <w:p>
      <w:pPr>
        <w:spacing w:line="360" w:lineRule="auto"/>
        <w:ind w:firstLine="560" w:firstLineChars="200"/>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第二部分　考查要点</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一、税收基本理论与税制要素</w:t>
      </w:r>
    </w:p>
    <w:p>
      <w:pPr>
        <w:spacing w:line="360" w:lineRule="auto"/>
        <w:ind w:firstLine="960" w:firstLineChars="400"/>
        <w:rPr>
          <w:rFonts w:eastAsia="华文楷体"/>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税收的产生、发展和职能</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税收原则</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税收负担、税负转嫁与归宿</w:t>
      </w:r>
    </w:p>
    <w:p>
      <w:pPr>
        <w:spacing w:line="360" w:lineRule="auto"/>
        <w:ind w:firstLine="960" w:firstLineChars="4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税收收入、财政支出与收入分配</w:t>
      </w:r>
    </w:p>
    <w:p>
      <w:pPr>
        <w:spacing w:line="360" w:lineRule="auto"/>
        <w:ind w:firstLine="960" w:firstLineChars="400"/>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 税种设置与税制结构</w:t>
      </w:r>
    </w:p>
    <w:p>
      <w:pPr>
        <w:spacing w:line="360" w:lineRule="auto"/>
        <w:ind w:firstLine="960" w:firstLineChars="400"/>
        <w:rPr>
          <w:color w:val="000000" w:themeColor="text1"/>
          <w:sz w:val="24"/>
          <w14:textFill>
            <w14:solidFill>
              <w14:schemeClr w14:val="tx1"/>
            </w14:solidFill>
          </w14:textFill>
        </w:rPr>
      </w:pP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 税制构成要素</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（1）纳税义务人</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（2）征税对象</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（3）税目</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（4）税率</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（5）纳税环节</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（6）纳税期限</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（7）纳税地点</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（8）其他要素</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二、增值税</w:t>
      </w:r>
    </w:p>
    <w:p>
      <w:pPr>
        <w:spacing w:line="360" w:lineRule="auto"/>
        <w:ind w:firstLine="960" w:firstLineChars="400"/>
        <w:rPr>
          <w:rFonts w:eastAsia="华文楷体"/>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增值税概述</w:t>
      </w:r>
    </w:p>
    <w:p>
      <w:pPr>
        <w:spacing w:line="360" w:lineRule="auto"/>
        <w:ind w:firstLine="960" w:firstLineChars="400"/>
        <w:rPr>
          <w:rFonts w:eastAsia="华文楷体"/>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增值税基本征收制度</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（1）纳税人</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（2）征税范围</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（3）税率和征收率</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（4）应纳税额计算</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（5）税收优惠</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（6）增值税出口退税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增值税税收管理制度</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（1）发票管理规定</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（2）增值税的征收与缴纳</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 增值税案例分析</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三、消费税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消费税概述</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消费税基本征收制度</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（1）纳税人</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（2）征税范围</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（3）税目与税率</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（4）应纳税额计算</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消费税征收与缴纳</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 消费税案例分析</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四、企业所得税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企业所得税概述</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企业所得税基本征收制度</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（1）纳税人</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（2）征税范围</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（3）税率与税收优惠</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（4）资产的税务处理</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（5）应纳税所得额的确定</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（6）应纳税额的计算</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企业所得税征收与纳税申报</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 企业所得税案例分析</w:t>
      </w:r>
    </w:p>
    <w:p>
      <w:pPr>
        <w:spacing w:line="360" w:lineRule="auto"/>
        <w:ind w:firstLine="360" w:firstLineChars="150"/>
        <w:rPr>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五、个人所得税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个人所得税概述</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个人所得税基本征收制度</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（1）纳税人</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（2）征税范围</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（3）税率与税收优惠</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（4）计税依据的确定</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（5）应纳税额计算</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个人所得税征收与缴纳</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 个人所得税案例分析</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六、城市维护建设税和烟叶税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城市维护建设税</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（1）纳税义务人与征税范围</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（2）税率、计税依据与应纳税额的计算</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（3）税收优惠与征收管理</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烟叶税</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（1）纳税义务人与征税范围</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（2）税率和计税依据</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（3）征收管理</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教育费附加和地方教育附加</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七、关税和船舶吨税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关税征税对象与纳税义务人</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（1）征税对象</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（2）纳税义务人</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关税进出口税则</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（1）进出口税则概况</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（2）税则归类</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（3）税率</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关税完税价格与应纳税额的计算</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（1）原产地规定</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（2）关税的完税价格</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（3）应纳税额的计算</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 关税减免</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 关税征收管理</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 船舶吨税</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（1）征收范围和税率</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（2）应纳税额计算</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（3）税收优惠</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（4）征收管理</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八、资源税和环境保护税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资源税</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（1）纳税义务人</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（2）税目、税率</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（3）扣缴义务人</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（4）计税依据</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（5）应纳税额的计算</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（6）减税、免税项目</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（7）征收管理</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（8）水资源税</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（9）资源税案例分析</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环境保护税</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（1）纳税义务人</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（2）税目、税额</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（3）计税依据</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（4）应纳税额的计算</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（5）税收减免</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（6）征收管理</w:t>
      </w:r>
    </w:p>
    <w:p>
      <w:pPr>
        <w:spacing w:line="360" w:lineRule="auto"/>
        <w:ind w:firstLine="240" w:firstLineChars="1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九、城镇土地使用税和耕地占用税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城镇土地使用税</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（1）纳税人</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（2）征税范围</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（3）税率与计税依据的确定</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（4）税收优惠</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（5）应纳税额计算</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（6）城镇土地使用税的征收与缴纳</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耕地占用税</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（1）纳税人</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（2）征税范围</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（3）税率与计税依据的确定</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（4）税收优惠</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（5）应纳税额计算</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（6）耕地占用税的征收与缴纳</w:t>
      </w:r>
    </w:p>
    <w:p>
      <w:pPr>
        <w:spacing w:line="360" w:lineRule="auto"/>
        <w:ind w:firstLine="240" w:firstLineChars="100"/>
        <w:rPr>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十、房产税、契税和土地增值税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房产税</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（1）纳税义务人与征税范围</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（2）税率、计税依据和应纳税额的计算</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（3）税收优惠</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（4）征收管理</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契税</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（1）纳税义务人与征税范围</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（2）税率、计税依据和应纳税额的计算</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（3）税收优惠</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（4）征收管理</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土地增值税</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（1）纳税义务人与征税范围</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（2）征率</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（3）应税收入与扣除项目</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（4）应纳税额计算</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（5）房地产开发企业土地增值税清算</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（6）税收优惠</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（7）征收管理</w:t>
      </w:r>
    </w:p>
    <w:p>
      <w:pPr>
        <w:spacing w:line="360" w:lineRule="auto"/>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（8）土地增值税案例分析</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十一、车辆购置税、车船税和印花税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车辆购置税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车船税</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印花税</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十二、国际税收</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税收管辖权</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国际重复征税及其解决办法</w:t>
      </w:r>
    </w:p>
    <w:p>
      <w:pPr>
        <w:spacing w:line="360" w:lineRule="auto"/>
        <w:ind w:firstLine="960" w:firstLineChars="4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 国际避税及其防范</w:t>
      </w:r>
    </w:p>
    <w:p>
      <w:pPr>
        <w:spacing w:line="360" w:lineRule="auto"/>
        <w:ind w:firstLine="960" w:firstLineChars="40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 国际税收协定</w:t>
      </w:r>
    </w:p>
    <w:p>
      <w:pPr>
        <w:spacing w:line="360" w:lineRule="auto"/>
        <w:ind w:firstLine="960" w:firstLineChars="400"/>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 国际税收征管合作</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十三、税收征管</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税务管理</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税款征收</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税务争讼</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 发票管理</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 税收债权债务关系</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 税收征管信息化与现代化</w:t>
      </w:r>
    </w:p>
    <w:p>
      <w:pPr>
        <w:spacing w:line="360" w:lineRule="auto"/>
        <w:ind w:firstLine="480" w:firstLineChars="200"/>
        <w:rPr>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十四、税收政策及税收热点问题综合分析</w:t>
      </w:r>
    </w:p>
    <w:p>
      <w:pPr>
        <w:spacing w:line="360" w:lineRule="auto"/>
        <w:ind w:firstLine="720" w:firstLineChars="3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近期政府发布的税收政策和纳税人关注的税收热点。</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p>
    <w:p>
      <w:pPr>
        <w:spacing w:line="360" w:lineRule="auto"/>
        <w:ind w:firstLine="560" w:firstLineChars="200"/>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第三部分　考试形式</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rFonts w:hint="eastAsia" w:eastAsia="华文楷体"/>
          <w:b/>
          <w:color w:val="000000" w:themeColor="text1"/>
          <w:sz w:val="24"/>
          <w14:textFill>
            <w14:solidFill>
              <w14:schemeClr w14:val="tx1"/>
            </w14:solidFill>
          </w14:textFill>
        </w:rPr>
        <w:t>一、答卷方式：</w:t>
      </w:r>
      <w:r>
        <w:rPr>
          <w:rFonts w:hint="eastAsia"/>
          <w:color w:val="000000" w:themeColor="text1"/>
          <w:sz w:val="24"/>
          <w14:textFill>
            <w14:solidFill>
              <w14:schemeClr w14:val="tx1"/>
            </w14:solidFill>
          </w14:textFill>
        </w:rPr>
        <w:t>闭卷，笔试</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rFonts w:hint="eastAsia" w:eastAsia="华文楷体"/>
          <w:b/>
          <w:color w:val="000000" w:themeColor="text1"/>
          <w:sz w:val="24"/>
          <w14:textFill>
            <w14:solidFill>
              <w14:schemeClr w14:val="tx1"/>
            </w14:solidFill>
          </w14:textFill>
        </w:rPr>
        <w:t>二、答题时间：</w:t>
      </w:r>
      <w:r>
        <w:rPr>
          <w:rFonts w:hint="eastAsia"/>
          <w:color w:val="000000" w:themeColor="text1"/>
          <w:sz w:val="24"/>
          <w14:textFill>
            <w14:solidFill>
              <w14:schemeClr w14:val="tx1"/>
            </w14:solidFill>
          </w14:textFill>
        </w:rPr>
        <w:t>180分钟</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rFonts w:hint="eastAsia" w:eastAsia="华文楷体"/>
          <w:b/>
          <w:color w:val="000000" w:themeColor="text1"/>
          <w:sz w:val="24"/>
          <w14:textFill>
            <w14:solidFill>
              <w14:schemeClr w14:val="tx1"/>
            </w14:solidFill>
          </w14:textFill>
        </w:rPr>
        <w:t>　三、满分150分，分值比例：</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税收基本理论：20%</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中国税制：40%</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国际税收：10%</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税收征管：10%</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税收政策：20%</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rFonts w:hint="eastAsia" w:eastAsia="华文楷体"/>
          <w:b/>
          <w:color w:val="000000" w:themeColor="text1"/>
          <w:sz w:val="24"/>
          <w14:textFill>
            <w14:solidFill>
              <w14:schemeClr w14:val="tx1"/>
            </w14:solidFill>
          </w14:textFill>
        </w:rPr>
        <w:t>四、题型比例</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简答题：30%</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计算题：30%</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综合分析题：30%</w:t>
      </w: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其他题型（按需设置）：10%</w:t>
      </w:r>
    </w:p>
    <w:p>
      <w:pPr>
        <w:spacing w:line="360" w:lineRule="auto"/>
        <w:rPr>
          <w:color w:val="000000" w:themeColor="text1"/>
          <w:sz w:val="24"/>
          <w14:textFill>
            <w14:solidFill>
              <w14:schemeClr w14:val="tx1"/>
            </w14:solidFill>
          </w14:textFill>
        </w:rPr>
      </w:pPr>
    </w:p>
    <w:p>
      <w:pPr>
        <w:spacing w:line="360" w:lineRule="auto"/>
        <w:ind w:firstLine="560" w:firstLineChars="200"/>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第四部分 参考资料</w:t>
      </w:r>
    </w:p>
    <w:p>
      <w:pPr>
        <w:spacing w:line="360" w:lineRule="auto"/>
        <w:ind w:firstLine="480" w:firstLineChars="200"/>
        <w:rPr>
          <w:rFonts w:eastAsia="黑体"/>
          <w:color w:val="000000" w:themeColor="text1"/>
          <w:sz w:val="28"/>
          <w14:textFill>
            <w14:solidFill>
              <w14:schemeClr w14:val="tx1"/>
            </w14:solidFill>
          </w14:textFill>
        </w:rPr>
      </w:pPr>
      <w:r>
        <w:rPr>
          <w:rFonts w:hint="eastAsia" w:eastAsia="华文楷体"/>
          <w:b/>
          <w:color w:val="000000" w:themeColor="text1"/>
          <w:sz w:val="24"/>
          <w14:textFill>
            <w14:solidFill>
              <w14:schemeClr w14:val="tx1"/>
            </w14:solidFill>
          </w14:textFill>
        </w:rPr>
        <w:t>一、中国注册会计师协会：税法（202</w:t>
      </w:r>
      <w:r>
        <w:rPr>
          <w:rFonts w:eastAsia="华文楷体"/>
          <w:b/>
          <w:color w:val="000000" w:themeColor="text1"/>
          <w:sz w:val="24"/>
          <w14:textFill>
            <w14:solidFill>
              <w14:schemeClr w14:val="tx1"/>
            </w14:solidFill>
          </w14:textFill>
        </w:rPr>
        <w:t>1</w:t>
      </w:r>
      <w:r>
        <w:rPr>
          <w:rFonts w:hint="eastAsia" w:eastAsia="华文楷体"/>
          <w:b/>
          <w:color w:val="000000" w:themeColor="text1"/>
          <w:sz w:val="24"/>
          <w14:textFill>
            <w14:solidFill>
              <w14:schemeClr w14:val="tx1"/>
            </w14:solidFill>
          </w14:textFill>
        </w:rPr>
        <w:t>年注册会计师全国统一考试辅导教材），中国财政经济出版社，202</w:t>
      </w:r>
      <w:r>
        <w:rPr>
          <w:rFonts w:eastAsia="华文楷体"/>
          <w:b/>
          <w:color w:val="000000" w:themeColor="text1"/>
          <w:sz w:val="24"/>
          <w14:textFill>
            <w14:solidFill>
              <w14:schemeClr w14:val="tx1"/>
            </w14:solidFill>
          </w14:textFill>
        </w:rPr>
        <w:t>1</w:t>
      </w:r>
      <w:r>
        <w:rPr>
          <w:rFonts w:hint="eastAsia" w:eastAsia="华文楷体"/>
          <w:b/>
          <w:color w:val="000000" w:themeColor="text1"/>
          <w:sz w:val="24"/>
          <w14:textFill>
            <w14:solidFill>
              <w14:schemeClr w14:val="tx1"/>
            </w14:solidFill>
          </w14:textFill>
        </w:rPr>
        <w:t>年版。</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二、任意一本适合重点大学税收专业本科生使用的《税收经济学》（或《税收学》）教材。</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三、任意一本适合重点大学税收专业本科生使用的《国际税收》教材。</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四、《税收征管法》及其实施细则。</w:t>
      </w:r>
    </w:p>
    <w:p>
      <w:pPr>
        <w:spacing w:line="360" w:lineRule="auto"/>
        <w:ind w:firstLine="480" w:firstLineChars="200"/>
        <w:rPr>
          <w:rFonts w:eastAsia="华文楷体"/>
          <w:b/>
          <w:color w:val="000000" w:themeColor="text1"/>
          <w:sz w:val="24"/>
          <w14:textFill>
            <w14:solidFill>
              <w14:schemeClr w14:val="tx1"/>
            </w14:solidFill>
          </w14:textFill>
        </w:rPr>
      </w:pPr>
      <w:r>
        <w:rPr>
          <w:rFonts w:hint="eastAsia" w:eastAsia="华文楷体"/>
          <w:b/>
          <w:color w:val="000000" w:themeColor="text1"/>
          <w:sz w:val="24"/>
          <w14:textFill>
            <w14:solidFill>
              <w14:schemeClr w14:val="tx1"/>
            </w14:solidFill>
          </w14:textFill>
        </w:rPr>
        <w:t>五、现行税收制度及税收政策。</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389485"/>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6AF2"/>
    <w:rsid w:val="00012313"/>
    <w:rsid w:val="000643A7"/>
    <w:rsid w:val="00076142"/>
    <w:rsid w:val="000A6787"/>
    <w:rsid w:val="000E3358"/>
    <w:rsid w:val="000E61F2"/>
    <w:rsid w:val="001020EC"/>
    <w:rsid w:val="001249E7"/>
    <w:rsid w:val="001343E8"/>
    <w:rsid w:val="002E4461"/>
    <w:rsid w:val="002E7CE6"/>
    <w:rsid w:val="002F45DC"/>
    <w:rsid w:val="0030087B"/>
    <w:rsid w:val="003A11AE"/>
    <w:rsid w:val="00426762"/>
    <w:rsid w:val="00461C38"/>
    <w:rsid w:val="004B0E28"/>
    <w:rsid w:val="004D6C3A"/>
    <w:rsid w:val="004F79B3"/>
    <w:rsid w:val="005023F1"/>
    <w:rsid w:val="0054334B"/>
    <w:rsid w:val="00582DA3"/>
    <w:rsid w:val="005902EC"/>
    <w:rsid w:val="005936DF"/>
    <w:rsid w:val="005A0D55"/>
    <w:rsid w:val="005A27C7"/>
    <w:rsid w:val="00616054"/>
    <w:rsid w:val="00696908"/>
    <w:rsid w:val="006C558F"/>
    <w:rsid w:val="0070344E"/>
    <w:rsid w:val="00721154"/>
    <w:rsid w:val="007327AF"/>
    <w:rsid w:val="00743021"/>
    <w:rsid w:val="00774FE8"/>
    <w:rsid w:val="00794D1F"/>
    <w:rsid w:val="008A0D17"/>
    <w:rsid w:val="008B78C5"/>
    <w:rsid w:val="008C7AAB"/>
    <w:rsid w:val="0094108D"/>
    <w:rsid w:val="009759E6"/>
    <w:rsid w:val="009D7E9E"/>
    <w:rsid w:val="009E6339"/>
    <w:rsid w:val="00A03D36"/>
    <w:rsid w:val="00A44CE6"/>
    <w:rsid w:val="00A73A00"/>
    <w:rsid w:val="00AA168E"/>
    <w:rsid w:val="00AE15A1"/>
    <w:rsid w:val="00B1529D"/>
    <w:rsid w:val="00B23A24"/>
    <w:rsid w:val="00B52615"/>
    <w:rsid w:val="00BE630B"/>
    <w:rsid w:val="00BF6AF2"/>
    <w:rsid w:val="00C05187"/>
    <w:rsid w:val="00C3098F"/>
    <w:rsid w:val="00C51422"/>
    <w:rsid w:val="00C568A2"/>
    <w:rsid w:val="00CA464C"/>
    <w:rsid w:val="00CE2653"/>
    <w:rsid w:val="00CE5B3F"/>
    <w:rsid w:val="00CE70CF"/>
    <w:rsid w:val="00D93276"/>
    <w:rsid w:val="00DD7F56"/>
    <w:rsid w:val="00DE0D7B"/>
    <w:rsid w:val="00DF6D2F"/>
    <w:rsid w:val="00E07DA6"/>
    <w:rsid w:val="00E76813"/>
    <w:rsid w:val="00EA7DF7"/>
    <w:rsid w:val="00F23C54"/>
    <w:rsid w:val="00F3104E"/>
    <w:rsid w:val="00F8624F"/>
    <w:rsid w:val="00FC669C"/>
    <w:rsid w:val="597023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370</Words>
  <Characters>2114</Characters>
  <Lines>17</Lines>
  <Paragraphs>4</Paragraphs>
  <TotalTime>274</TotalTime>
  <ScaleCrop>false</ScaleCrop>
  <LinksUpToDate>false</LinksUpToDate>
  <CharactersWithSpaces>2480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2018-07-18T08:05:00Z</dcterms:created>
  <dc:creator>User</dc:creator>
  <cp:lastModifiedBy>y</cp:lastModifiedBy>
  <cp:lastPrinted>2019-06-19T03:00:00Z</cp:lastPrinted>
  <dcterms:modified xsi:type="dcterms:W3CDTF">2021-07-23T13:29:52Z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