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考试科目代码：[复试]              考试科目名称：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hi-IN"/>
        </w:rPr>
        <w:t>宏观经济学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一、考试形式与试卷结构</w:t>
      </w:r>
    </w:p>
    <w:p>
      <w:pPr>
        <w:pStyle w:val="9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（一）试卷分数及考试时间</w:t>
      </w:r>
    </w:p>
    <w:p>
      <w:pPr>
        <w:pStyle w:val="9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本试卷满分为100分，考试时间为120分钟。</w:t>
      </w:r>
    </w:p>
    <w:p>
      <w:pPr>
        <w:pStyle w:val="9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（二）考试形式</w:t>
      </w:r>
    </w:p>
    <w:p>
      <w:pPr>
        <w:pStyle w:val="9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考试形式为闭卷、笔试。</w:t>
      </w:r>
    </w:p>
    <w:p>
      <w:pPr>
        <w:pStyle w:val="9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试卷由试题和答题纸组成；答案必须写在答题纸（由考点提供）相应的位置上。</w:t>
      </w:r>
    </w:p>
    <w:p>
      <w:pPr>
        <w:pStyle w:val="9"/>
        <w:ind w:firstLine="56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（三）试卷结构</w:t>
      </w:r>
    </w:p>
    <w:p>
      <w:pPr>
        <w:pStyle w:val="9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简答题：30分</w:t>
      </w:r>
    </w:p>
    <w:p>
      <w:pPr>
        <w:pStyle w:val="9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计算题：10分</w:t>
      </w:r>
    </w:p>
    <w:p>
      <w:pPr>
        <w:pStyle w:val="9"/>
        <w:ind w:firstLine="56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分析论述题：60分</w:t>
      </w:r>
    </w:p>
    <w:p>
      <w:pPr>
        <w:numPr>
          <w:ilvl w:val="0"/>
          <w:numId w:val="1"/>
        </w:num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考试目标 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要求考生系统掌握宏观经济学的基本知识、基础理论和基本方法，并能运用相关理论和方法分析、解决实际问题。</w:t>
      </w:r>
    </w:p>
    <w:p>
      <w:pPr>
        <w:ind w:firstLine="560" w:firstLineChars="200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三、考试范围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（一） </w:t>
      </w:r>
      <w:r>
        <w:rPr>
          <w:rFonts w:ascii="仿宋" w:hAnsi="仿宋" w:eastAsia="仿宋"/>
          <w:sz w:val="28"/>
          <w:szCs w:val="28"/>
        </w:rPr>
        <w:t>宏观经济的基本指标及其衡量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宏观经济学的特点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国内生产总值及其核算方法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国民收入的其他衡量指标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国民收入的基本公式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名义GDP和实际GDP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ascii="仿宋" w:hAnsi="仿宋" w:eastAsia="仿宋"/>
          <w:sz w:val="28"/>
          <w:szCs w:val="28"/>
        </w:rPr>
        <w:t>失业和物价水平的衡量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</w:t>
      </w:r>
      <w:r>
        <w:rPr>
          <w:rFonts w:ascii="仿宋" w:hAnsi="仿宋" w:eastAsia="仿宋"/>
          <w:sz w:val="28"/>
          <w:szCs w:val="28"/>
        </w:rPr>
        <w:t>国民收入的决定:收入—支出模型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均衡产出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凯恩斯的消费理论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两部门经济中国民收入的决定及变动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乘数论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三部门经济的收入决定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ascii="仿宋" w:hAnsi="仿宋" w:eastAsia="仿宋"/>
          <w:sz w:val="28"/>
          <w:szCs w:val="28"/>
        </w:rPr>
        <w:t>三部门经济中各种乘数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</w:t>
      </w:r>
      <w:r>
        <w:rPr>
          <w:rFonts w:ascii="仿宋" w:hAnsi="仿宋" w:eastAsia="仿宋"/>
          <w:sz w:val="28"/>
          <w:szCs w:val="28"/>
        </w:rPr>
        <w:t>四部门经济中国民收入的决定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ascii="仿宋" w:hAnsi="仿宋" w:eastAsia="仿宋"/>
          <w:sz w:val="28"/>
          <w:szCs w:val="28"/>
        </w:rPr>
        <w:t>国民收入的决定: IS—LM模型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投资的决定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IS曲线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利率的决定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LM曲线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IS-LM分析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ascii="仿宋" w:hAnsi="仿宋" w:eastAsia="仿宋"/>
          <w:sz w:val="28"/>
          <w:szCs w:val="28"/>
        </w:rPr>
        <w:t>凯恩斯的基本理论框架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</w:t>
      </w:r>
      <w:r>
        <w:rPr>
          <w:rFonts w:ascii="仿宋" w:hAnsi="仿宋" w:eastAsia="仿宋"/>
          <w:sz w:val="28"/>
          <w:szCs w:val="28"/>
        </w:rPr>
        <w:t>国民收入的决定:总需求—总供给模型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总需求曲线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总供给的一般说明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两种极端的总供给曲线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常规总供给曲线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总需求—总供给模型对现实的解释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ascii="仿宋" w:hAnsi="仿宋" w:eastAsia="仿宋"/>
          <w:sz w:val="28"/>
          <w:szCs w:val="28"/>
        </w:rPr>
        <w:t>总需求—总供给模型的数学小结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</w:t>
      </w:r>
      <w:r>
        <w:rPr>
          <w:rFonts w:ascii="仿宋" w:hAnsi="仿宋" w:eastAsia="仿宋"/>
          <w:sz w:val="28"/>
          <w:szCs w:val="28"/>
        </w:rPr>
        <w:t>失业与通货膨胀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失业的描述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失业的原因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失业的影响与奥肯定律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通货膨胀的描述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通货膨胀的原因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ascii="仿宋" w:hAnsi="仿宋" w:eastAsia="仿宋"/>
          <w:sz w:val="28"/>
          <w:szCs w:val="28"/>
        </w:rPr>
        <w:t>通货膨胀的成本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</w:t>
      </w:r>
      <w:r>
        <w:rPr>
          <w:rFonts w:ascii="仿宋" w:hAnsi="仿宋" w:eastAsia="仿宋"/>
          <w:sz w:val="28"/>
          <w:szCs w:val="28"/>
        </w:rPr>
        <w:t>失业与通货膨胀的关系——菲利普斯曲线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</w:t>
      </w:r>
      <w:r>
        <w:rPr>
          <w:rFonts w:ascii="仿宋" w:hAnsi="仿宋" w:eastAsia="仿宋"/>
          <w:sz w:val="28"/>
          <w:szCs w:val="28"/>
        </w:rPr>
        <w:t>宏观经济政策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宏观经济政策目标以及经济政策影响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财政政策及其效果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货币政策及其效果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两种政策的混合使用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关于总需求管理政策的争论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ascii="仿宋" w:hAnsi="仿宋" w:eastAsia="仿宋"/>
          <w:sz w:val="28"/>
          <w:szCs w:val="28"/>
        </w:rPr>
        <w:t>供给管理的政策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（七）</w:t>
      </w:r>
      <w:r>
        <w:rPr>
          <w:rFonts w:ascii="仿宋" w:hAnsi="仿宋" w:eastAsia="仿宋"/>
          <w:sz w:val="28"/>
          <w:szCs w:val="28"/>
        </w:rPr>
        <w:t>开放经济下的短期经济模型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汇率和对外贸易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蒙代尔弗莱明模型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蒙代尔弗莱明模型的应用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（八）</w:t>
      </w:r>
      <w:r>
        <w:rPr>
          <w:rFonts w:ascii="仿宋" w:hAnsi="仿宋" w:eastAsia="仿宋"/>
          <w:sz w:val="28"/>
          <w:szCs w:val="28"/>
        </w:rPr>
        <w:t>经济增长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ascii="仿宋" w:hAnsi="仿宋" w:eastAsia="仿宋"/>
          <w:sz w:val="28"/>
          <w:szCs w:val="28"/>
        </w:rPr>
        <w:t>国民收入长期趋势和波动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经济增长的描述和事实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增长核算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构建和分析新古典增长模型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应用新古典增长模型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1.《西方经济学编写组》：《西方经济学（下册）》（马克思主义理论研究和建设工程重点教材，第二版），高等教育出版社/人民出版社。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.高鸿业</w:t>
      </w:r>
      <w:r>
        <w:rPr>
          <w:rFonts w:hint="eastAsia" w:ascii="仿宋" w:hAnsi="仿宋" w:eastAsia="仿宋"/>
          <w:sz w:val="28"/>
          <w:szCs w:val="28"/>
        </w:rPr>
        <w:t>：《</w:t>
      </w:r>
      <w:r>
        <w:rPr>
          <w:rFonts w:ascii="仿宋" w:hAnsi="仿宋" w:eastAsia="仿宋"/>
          <w:sz w:val="28"/>
          <w:szCs w:val="28"/>
        </w:rPr>
        <w:t>西方经济学</w:t>
      </w:r>
      <w:r>
        <w:rPr>
          <w:rFonts w:hint="eastAsia" w:ascii="仿宋" w:hAnsi="仿宋" w:eastAsia="仿宋"/>
          <w:sz w:val="28"/>
          <w:szCs w:val="28"/>
        </w:rPr>
        <w:t>》</w:t>
      </w: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宏</w:t>
      </w:r>
      <w:r>
        <w:rPr>
          <w:rFonts w:ascii="仿宋" w:hAnsi="仿宋" w:eastAsia="仿宋"/>
          <w:sz w:val="28"/>
          <w:szCs w:val="28"/>
        </w:rPr>
        <w:t>观部分·第</w:t>
      </w:r>
      <w:r>
        <w:rPr>
          <w:rFonts w:hint="eastAsia" w:ascii="仿宋" w:hAnsi="仿宋" w:eastAsia="仿宋"/>
          <w:sz w:val="28"/>
          <w:szCs w:val="28"/>
        </w:rPr>
        <w:t>七</w:t>
      </w:r>
      <w:r>
        <w:rPr>
          <w:rFonts w:ascii="仿宋" w:hAnsi="仿宋" w:eastAsia="仿宋"/>
          <w:sz w:val="28"/>
          <w:szCs w:val="28"/>
        </w:rPr>
        <w:t>版）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中国人民大学出版社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contextualSpacing/>
        <w:jc w:val="left"/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CA6C"/>
    <w:multiLevelType w:val="singleLevel"/>
    <w:tmpl w:val="0C23CA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74"/>
    <w:rsid w:val="00090242"/>
    <w:rsid w:val="000F6C4C"/>
    <w:rsid w:val="00150993"/>
    <w:rsid w:val="001B4F38"/>
    <w:rsid w:val="001E110A"/>
    <w:rsid w:val="001F7BF5"/>
    <w:rsid w:val="00230F8F"/>
    <w:rsid w:val="00260D3E"/>
    <w:rsid w:val="00281B72"/>
    <w:rsid w:val="002C7FA4"/>
    <w:rsid w:val="00365DA8"/>
    <w:rsid w:val="003D3152"/>
    <w:rsid w:val="003F735A"/>
    <w:rsid w:val="00407A74"/>
    <w:rsid w:val="005248FA"/>
    <w:rsid w:val="00560AA8"/>
    <w:rsid w:val="00591A08"/>
    <w:rsid w:val="005C19F1"/>
    <w:rsid w:val="005D2EEE"/>
    <w:rsid w:val="006959BF"/>
    <w:rsid w:val="007310EA"/>
    <w:rsid w:val="007646ED"/>
    <w:rsid w:val="0078238E"/>
    <w:rsid w:val="007A2CB4"/>
    <w:rsid w:val="007C6574"/>
    <w:rsid w:val="008A0D5E"/>
    <w:rsid w:val="008D7DD9"/>
    <w:rsid w:val="00912E19"/>
    <w:rsid w:val="00940EF8"/>
    <w:rsid w:val="00956B62"/>
    <w:rsid w:val="009651D4"/>
    <w:rsid w:val="009656D6"/>
    <w:rsid w:val="009D017A"/>
    <w:rsid w:val="009E2998"/>
    <w:rsid w:val="00A071A0"/>
    <w:rsid w:val="00A329D7"/>
    <w:rsid w:val="00A56AF4"/>
    <w:rsid w:val="00A63DC9"/>
    <w:rsid w:val="00AA7AC0"/>
    <w:rsid w:val="00AE17B9"/>
    <w:rsid w:val="00BA7A26"/>
    <w:rsid w:val="00C15459"/>
    <w:rsid w:val="00C54FEF"/>
    <w:rsid w:val="00CA51D8"/>
    <w:rsid w:val="00CD2E28"/>
    <w:rsid w:val="00DC5FD9"/>
    <w:rsid w:val="00DD3CA2"/>
    <w:rsid w:val="00E27172"/>
    <w:rsid w:val="00E53AC4"/>
    <w:rsid w:val="00F4144B"/>
    <w:rsid w:val="06F6380C"/>
    <w:rsid w:val="0D8F0F45"/>
    <w:rsid w:val="0F2E7324"/>
    <w:rsid w:val="10E53F5D"/>
    <w:rsid w:val="1BAA4BB9"/>
    <w:rsid w:val="29B00A35"/>
    <w:rsid w:val="2DD13BAF"/>
    <w:rsid w:val="304A4BC8"/>
    <w:rsid w:val="329502BB"/>
    <w:rsid w:val="38AA071B"/>
    <w:rsid w:val="422E2294"/>
    <w:rsid w:val="4AF31A56"/>
    <w:rsid w:val="53662468"/>
    <w:rsid w:val="5B373E00"/>
    <w:rsid w:val="5EF31762"/>
    <w:rsid w:val="5FBA72D5"/>
    <w:rsid w:val="60041A04"/>
    <w:rsid w:val="6AAE6AD7"/>
    <w:rsid w:val="71370454"/>
    <w:rsid w:val="78EE7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  <w:style w:type="character" w:customStyle="1" w:styleId="11">
    <w:name w:val="页脚 Char1"/>
    <w:link w:val="4"/>
    <w:uiPriority w:val="0"/>
    <w:rPr>
      <w:kern w:val="2"/>
      <w:sz w:val="18"/>
      <w:szCs w:val="18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uiPriority w:val="99"/>
    <w:rPr>
      <w:rFonts w:eastAsia="Calibri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2021-06-01T08:15:00Z</dcterms:created>
  <dc:creator>lenovo</dc:creator>
  <cp:lastModifiedBy>Administrator</cp:lastModifiedBy>
  <cp:lastPrinted>2018-07-09T09:35:00Z</cp:lastPrinted>
  <dcterms:modified xsi:type="dcterms:W3CDTF">2021-08-27T11:34:28Z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8DCED722D3CA42D09A51E75F404D3312</vt:lpwstr>
  </property>
</Properties>
</file>