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课程与教学论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评价</w:t>
      </w:r>
      <w:r>
        <w:rPr>
          <w:rFonts w:hint="eastAsia" w:ascii="仿宋" w:hAnsi="仿宋" w:eastAsia="仿宋" w:cs="仿宋"/>
          <w:sz w:val="28"/>
          <w:szCs w:val="28"/>
        </w:rPr>
        <w:t>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</w:t>
      </w:r>
      <w:r>
        <w:rPr>
          <w:rFonts w:hint="eastAsia" w:ascii="仿宋" w:hAnsi="仿宋" w:eastAsia="仿宋" w:cs="仿宋"/>
          <w:sz w:val="28"/>
          <w:szCs w:val="28"/>
        </w:rPr>
        <w:t>课程与教学论的基本概念和基础知识。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</w:t>
      </w:r>
      <w:r>
        <w:rPr>
          <w:rFonts w:hint="eastAsia" w:ascii="仿宋" w:hAnsi="仿宋" w:eastAsia="仿宋" w:cs="仿宋"/>
          <w:sz w:val="28"/>
          <w:szCs w:val="28"/>
        </w:rPr>
        <w:t>课程与教学论的基本理论和基本方法。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掌握普通高中英语课程标准的主要内容。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</w:t>
      </w:r>
      <w:r>
        <w:rPr>
          <w:rFonts w:hint="eastAsia" w:ascii="仿宋" w:hAnsi="仿宋" w:eastAsia="仿宋" w:cs="仿宋"/>
          <w:sz w:val="28"/>
          <w:szCs w:val="28"/>
        </w:rPr>
        <w:t>课程与教学论的基本理论和方法来分析和解决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</w:t>
      </w:r>
      <w:r>
        <w:rPr>
          <w:rFonts w:hint="eastAsia" w:ascii="仿宋" w:hAnsi="仿宋" w:eastAsia="仿宋" w:cs="仿宋"/>
          <w:sz w:val="28"/>
          <w:szCs w:val="28"/>
        </w:rPr>
        <w:t>教学现实问题。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语言与学习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语言观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语言学习观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如何成为优秀的语言教师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（二）外语教学流派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1.语法翻译法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2.直接法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3.听说法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4.全身反应法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5.沉默法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6.交际法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7.任务型教学法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写好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教学设计</w:t>
      </w:r>
      <w:r>
        <w:rPr>
          <w:rFonts w:hint="eastAsia" w:ascii="仿宋" w:hAnsi="仿宋" w:eastAsia="仿宋" w:cs="仿宋"/>
          <w:sz w:val="28"/>
          <w:szCs w:val="28"/>
        </w:rPr>
        <w:t>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2.宏观与微观教学设计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课堂管理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教师角色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学生分组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3.课堂纪律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语言知识与语言技能教学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1.语音教学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</w:t>
      </w:r>
      <w:r>
        <w:rPr>
          <w:rFonts w:hint="eastAsia" w:ascii="仿宋" w:hAnsi="仿宋" w:eastAsia="仿宋" w:cs="仿宋"/>
          <w:sz w:val="28"/>
          <w:szCs w:val="28"/>
        </w:rPr>
        <w:t>音教学目标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语音教学的内容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2.语法教学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语法教学的作用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语法教学方法。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3.词汇教学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词汇呈现方式；词汇巩固方式；</w:t>
      </w:r>
      <w:r>
        <w:rPr>
          <w:rFonts w:hint="eastAsia" w:ascii="仿宋" w:hAnsi="仿宋" w:eastAsia="仿宋" w:cs="仿宋"/>
          <w:sz w:val="28"/>
          <w:szCs w:val="28"/>
        </w:rPr>
        <w:t>词汇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sz w:val="28"/>
          <w:szCs w:val="28"/>
        </w:rPr>
        <w:t>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4.听力教学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听力教学的特点；听力教学原则；听力教学过程活动设计。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5.口语教学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口语教学特点；口语教学任务设计；口语教学任务类型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6.阅读教学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阅读能力；阅读策略；阅读教学原则和模式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7.写作教学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真实写作教学的本质；基于过程的写作教学；写作任务设计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（五）语言教学评价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过程评价与终结评价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英语教学评价标准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英语教学评价原则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学习者差异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学习者个体差异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学习者个体差异对语言学习的影响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（七）英语课程标准解读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普通高中英语课程的基本理念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普通高中英语课程的目标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普通高中英语课程的内容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1.王蔷</w:t>
      </w:r>
      <w:r>
        <w:rPr>
          <w:rFonts w:hint="eastAsia" w:ascii="仿宋" w:hAnsi="仿宋" w:eastAsia="仿宋" w:cs="仿宋"/>
          <w:sz w:val="28"/>
          <w:szCs w:val="28"/>
        </w:rPr>
        <w:t>主编：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《英语教学法教程》（第2版），王蔷，高等教育出版社，2006。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Vivian Cook：</w:t>
      </w:r>
      <w:r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  <w:t>Second Language Learning and Language Teaching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(第二语言学习与教学)（第四版）， 外语教学与研究出版社，霍德教育公司，2011。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3.教育部：《普通高中英语课程标准（2017年版）》，人民教育出版社，2018年版。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1D265AB4"/>
    <w:rsid w:val="3A347015"/>
    <w:rsid w:val="40B747D7"/>
    <w:rsid w:val="42FF78D5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10</TotalTime>
  <ScaleCrop>false</ScaleCrop>
  <LinksUpToDate>false</LinksUpToDate>
  <CharactersWithSpaces>1558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dcterms:modified xsi:type="dcterms:W3CDTF">2020-07-13T11:10:40Z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