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23" w:name="_GoBack"/>
      <w:bookmarkEnd w:id="23"/>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国际贸易理论与实务</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(科目代码：910)</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2021  年  7  月  1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jc w:val="center"/>
        <w:rPr>
          <w:rFonts w:hint="eastAsia" w:ascii="黑体" w:eastAsia="黑体"/>
          <w:sz w:val="32"/>
          <w:szCs w:val="32"/>
        </w:rPr>
      </w:pPr>
      <w:r>
        <w:rPr>
          <w:rFonts w:hint="eastAsia" w:ascii="黑体" w:eastAsia="黑体"/>
          <w:sz w:val="32"/>
          <w:szCs w:val="32"/>
        </w:rPr>
        <w:t>《国际贸易理论与实务》科目大纲</w:t>
      </w:r>
    </w:p>
    <w:p>
      <w:pPr>
        <w:jc w:val="center"/>
        <w:rPr>
          <w:rFonts w:hint="eastAsia" w:ascii="黑体" w:eastAsia="黑体"/>
          <w:color w:val="000000"/>
          <w:sz w:val="28"/>
          <w:szCs w:val="28"/>
        </w:rPr>
      </w:pPr>
      <w:r>
        <w:rPr>
          <w:rFonts w:hint="eastAsia" w:ascii="黑体" w:eastAsia="黑体"/>
          <w:color w:val="000000"/>
          <w:sz w:val="28"/>
          <w:szCs w:val="28"/>
        </w:rPr>
        <w:t>（科目代码:910）</w:t>
      </w:r>
    </w:p>
    <w:p>
      <w:pPr>
        <w:jc w:val="center"/>
        <w:rPr>
          <w:rFonts w:hint="eastAsia" w:ascii="黑体" w:eastAsia="黑体"/>
          <w:color w:val="000000"/>
          <w:sz w:val="28"/>
          <w:szCs w:val="28"/>
        </w:rPr>
      </w:pPr>
    </w:p>
    <w:p>
      <w:pPr>
        <w:ind w:firstLine="640" w:firstLineChars="200"/>
        <w:jc w:val="center"/>
        <w:rPr>
          <w:rFonts w:hint="eastAsia" w:ascii="黑体" w:eastAsia="黑体"/>
          <w:sz w:val="32"/>
          <w:szCs w:val="32"/>
        </w:rPr>
      </w:pPr>
      <w:r>
        <w:rPr>
          <w:rFonts w:hint="eastAsia" w:ascii="黑体" w:eastAsia="黑体"/>
          <w:sz w:val="32"/>
          <w:szCs w:val="32"/>
        </w:rPr>
        <w:t>一、考核要求</w:t>
      </w:r>
    </w:p>
    <w:p>
      <w:pPr>
        <w:widowControl/>
        <w:shd w:val="clear" w:color="auto" w:fill="FFFFFF"/>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国际贸易理论与实务》是国际贸易学专业的核心必修课。本课程由《国际贸易学》和《国际贸易实务》两门课程组成。国际贸易学是研究国际贸易产生、发展和贸易利益，揭示其特点与运动规律的学科，其研究对象包括：各个历史发展阶段国际商品流通的一般规律性、国际贸易理论、对外贸易政策。国际贸易实务是研究国际商品交换的具体过程的学科，是具有涉外活动特点的实践性很强的综合性应用学科。国际贸易实务课程的主要任务是，针对国际贸易的特点和要求，从实践和法律的角度，分析研究国际贸易适用的有关法律与惯例和国际商品交换过程的各种实际运作，学会在进出口业务中，既能正确贯彻我国对外贸易的方针政策和经营意图，确保最佳经济效益，又能按国际规范办事，使我们的贸易做法能为国际社会普遍接受，做到同国际接轨。</w:t>
      </w:r>
      <w:r>
        <w:rPr>
          <w:rFonts w:hint="eastAsia" w:ascii="楷体_GB2312" w:hAnsi="宋体" w:eastAsia="楷体_GB2312"/>
          <w:color w:val="000000"/>
          <w:szCs w:val="21"/>
        </w:rPr>
        <w:t>具有较好的国际贸易理论与实务功底是进入国际贸易学专业研究生阶段学习的基本要求。本课程的考核要求是：考生能够掌握国际贸易学及国际贸易实务的基本理论、基本知识，能够运用国际贸易学的基本理论分析</w:t>
      </w:r>
      <w:r>
        <w:rPr>
          <w:rFonts w:hint="eastAsia" w:ascii="楷体_GB2312" w:hAnsi="宋体" w:eastAsia="楷体_GB2312" w:cs="宋体"/>
          <w:color w:val="000000"/>
          <w:kern w:val="0"/>
          <w:szCs w:val="21"/>
          <w:shd w:val="clear" w:color="auto" w:fill="FFFFFF"/>
        </w:rPr>
        <w:t>国内外的国际贸易新现象、新问题，具有进行国际贸易进出口业务操作的基本能力。</w:t>
      </w:r>
    </w:p>
    <w:p>
      <w:pPr>
        <w:widowControl/>
        <w:spacing w:line="520" w:lineRule="exact"/>
        <w:jc w:val="center"/>
        <w:rPr>
          <w:rFonts w:hint="eastAsia" w:ascii="黑体" w:hAnsi="宋体" w:eastAsia="黑体"/>
          <w:sz w:val="32"/>
          <w:szCs w:val="32"/>
        </w:rPr>
      </w:pPr>
      <w:r>
        <w:rPr>
          <w:rFonts w:hint="eastAsia" w:ascii="黑体" w:eastAsia="黑体"/>
          <w:sz w:val="32"/>
          <w:szCs w:val="32"/>
        </w:rPr>
        <w:t>二、</w:t>
      </w:r>
      <w:r>
        <w:rPr>
          <w:rFonts w:hint="eastAsia" w:ascii="黑体" w:hAnsi="宋体" w:eastAsia="黑体"/>
          <w:sz w:val="32"/>
          <w:szCs w:val="32"/>
        </w:rPr>
        <w:t>考核评价目标</w:t>
      </w:r>
    </w:p>
    <w:p>
      <w:pPr>
        <w:ind w:firstLine="308" w:firstLineChars="147"/>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 xml:space="preserve"> 1、认识课程的性质、研究对象及任务，掌握课程的基本内容、体系和结构。</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2、掌握国际贸易理论与实务的基本概念、基本知识和基本原理，具有基本的国际贸易学思维能力。</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3、能够运用国际贸易学和国际贸易实务的基本理论原理分析实际问题，并提出自己的独立见解。</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4、基本掌握国际贸易学的研究方法和分析工具。</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5、对本学科的热点问题和前沿课题有所了解。</w:t>
      </w:r>
    </w:p>
    <w:p>
      <w:pPr>
        <w:ind w:firstLine="470" w:firstLineChars="147"/>
        <w:jc w:val="center"/>
        <w:rPr>
          <w:rFonts w:hint="eastAsia" w:ascii="黑体" w:eastAsia="黑体"/>
          <w:sz w:val="32"/>
          <w:szCs w:val="32"/>
        </w:rPr>
      </w:pPr>
      <w:r>
        <w:rPr>
          <w:rFonts w:hint="eastAsia" w:ascii="黑体" w:eastAsia="黑体"/>
          <w:sz w:val="32"/>
          <w:szCs w:val="32"/>
        </w:rPr>
        <w:t>三、考核内容</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第一章  国际贸易学导论</w:t>
      </w:r>
    </w:p>
    <w:p>
      <w:pPr>
        <w:adjustRightInd w:val="0"/>
        <w:snapToGrid w:val="0"/>
        <w:ind w:firstLine="420" w:firstLineChars="200"/>
        <w:rPr>
          <w:rFonts w:hint="eastAsia" w:ascii="楷体_GB2312" w:hAnsi="宋体" w:eastAsia="楷体_GB2312"/>
          <w:bCs/>
          <w:caps/>
          <w:color w:val="000000"/>
          <w:szCs w:val="21"/>
        </w:rPr>
      </w:pPr>
      <w:r>
        <w:rPr>
          <w:rFonts w:hint="eastAsia" w:ascii="楷体_GB2312" w:hAnsi="宋体" w:eastAsia="楷体_GB2312"/>
          <w:bCs/>
          <w:color w:val="000000"/>
          <w:szCs w:val="21"/>
        </w:rPr>
        <w:t xml:space="preserve">第一节  </w:t>
      </w:r>
      <w:r>
        <w:rPr>
          <w:rFonts w:hint="eastAsia" w:ascii="楷体_GB2312" w:hAnsi="宋体" w:eastAsia="楷体_GB2312"/>
          <w:bCs/>
          <w:caps/>
          <w:color w:val="000000"/>
          <w:szCs w:val="21"/>
        </w:rPr>
        <w:t>国际贸易的产生与发展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一、国际贸易的产生</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olor w:val="000000"/>
          <w:szCs w:val="21"/>
        </w:rPr>
        <w:t>二、国际贸易的发展</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国际贸易理论的产生和发展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一、国际贸易理论的产生</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二、国际贸易理论的发展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三、国际贸易理论的体系结构</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国际贸易的基本概念与分类</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一、国际贸易的基本概念</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二、国际贸易的分类</w:t>
      </w:r>
    </w:p>
    <w:p>
      <w:pPr>
        <w:adjustRightInd w:val="0"/>
        <w:snapToGrid w:val="0"/>
        <w:rPr>
          <w:rFonts w:hint="eastAsia" w:ascii="楷体_GB2312" w:hAnsi="宋体" w:eastAsia="楷体_GB2312"/>
          <w:bCs/>
          <w:caps/>
          <w:color w:val="000000"/>
          <w:szCs w:val="21"/>
        </w:rPr>
      </w:pPr>
      <w:r>
        <w:rPr>
          <w:rFonts w:hint="eastAsia" w:ascii="楷体_GB2312" w:hAnsi="宋体" w:eastAsia="楷体_GB2312"/>
          <w:bCs/>
          <w:color w:val="000000"/>
          <w:szCs w:val="21"/>
        </w:rPr>
        <w:t>第二章  古典国际贸易理论</w:t>
      </w:r>
    </w:p>
    <w:p>
      <w:pPr>
        <w:pStyle w:val="8"/>
        <w:widowControl w:val="0"/>
        <w:adjustRightInd w:val="0"/>
        <w:snapToGrid w:val="0"/>
        <w:spacing w:before="0" w:beforeAutospacing="0" w:after="0" w:afterAutospacing="0"/>
        <w:ind w:firstLine="420"/>
        <w:rPr>
          <w:rFonts w:hint="eastAsia" w:ascii="楷体_GB2312" w:eastAsia="楷体_GB2312"/>
          <w:bCs/>
          <w:color w:val="000000"/>
          <w:sz w:val="21"/>
          <w:szCs w:val="21"/>
        </w:rPr>
      </w:pPr>
      <w:bookmarkStart w:id="0" w:name="a2"/>
      <w:bookmarkStart w:id="1" w:name="_Toc77605915"/>
      <w:bookmarkStart w:id="2" w:name="_Toc77353999"/>
      <w:bookmarkStart w:id="3" w:name="_Toc77353743"/>
      <w:r>
        <w:rPr>
          <w:rFonts w:hint="eastAsia" w:ascii="楷体_GB2312" w:eastAsia="楷体_GB2312"/>
          <w:bCs/>
          <w:color w:val="000000"/>
          <w:sz w:val="21"/>
          <w:szCs w:val="21"/>
        </w:rPr>
        <w:t>第一节  绝对</w:t>
      </w:r>
      <w:r>
        <w:rPr>
          <w:rStyle w:val="11"/>
          <w:rFonts w:hint="eastAsia" w:ascii="楷体_GB2312" w:eastAsia="楷体_GB2312"/>
          <w:b w:val="0"/>
          <w:color w:val="000000"/>
          <w:sz w:val="21"/>
          <w:szCs w:val="21"/>
        </w:rPr>
        <w:t>优势</w:t>
      </w:r>
      <w:r>
        <w:rPr>
          <w:rFonts w:hint="eastAsia" w:ascii="楷体_GB2312" w:eastAsia="楷体_GB2312"/>
          <w:bCs/>
          <w:color w:val="000000"/>
          <w:sz w:val="21"/>
          <w:szCs w:val="21"/>
        </w:rPr>
        <w:t>理论</w:t>
      </w:r>
      <w:bookmarkEnd w:id="0"/>
      <w:r>
        <w:rPr>
          <w:rFonts w:hint="eastAsia" w:ascii="楷体_GB2312" w:eastAsia="楷体_GB2312"/>
          <w:bCs/>
          <w:color w:val="000000"/>
          <w:sz w:val="21"/>
          <w:szCs w:val="21"/>
        </w:rPr>
        <w:t xml:space="preserve">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一、绝对优势理论产生的背景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二、绝对优势理论的基本假设</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三、绝对优势理论的基本内容</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四、绝对成本理论中的基本概念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五、绝对成本理论的基本模型</w:t>
      </w:r>
      <w:bookmarkEnd w:id="1"/>
      <w:bookmarkEnd w:id="2"/>
      <w:bookmarkEnd w:id="3"/>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六、对绝对优势理论的评价</w:t>
      </w:r>
    </w:p>
    <w:p>
      <w:pPr>
        <w:adjustRightInd w:val="0"/>
        <w:snapToGrid w:val="0"/>
        <w:ind w:firstLine="420" w:firstLineChars="200"/>
        <w:rPr>
          <w:rFonts w:hint="eastAsia" w:ascii="楷体_GB2312" w:hAnsi="宋体" w:eastAsia="楷体_GB2312"/>
          <w:bCs/>
          <w:color w:val="000000"/>
          <w:szCs w:val="21"/>
        </w:rPr>
      </w:pPr>
      <w:bookmarkStart w:id="4" w:name="a3"/>
      <w:r>
        <w:rPr>
          <w:rFonts w:hint="eastAsia" w:ascii="楷体_GB2312" w:hAnsi="宋体" w:eastAsia="楷体_GB2312"/>
          <w:bCs/>
          <w:color w:val="000000"/>
          <w:szCs w:val="21"/>
        </w:rPr>
        <w:t>第二节  比较优势理论</w:t>
      </w:r>
    </w:p>
    <w:bookmarkEnd w:id="4"/>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一、比较优势理论产生的背景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二、比较优势理论的基本假设</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三、比较优势理论的基本内容</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五、比较优势理论简评</w:t>
      </w:r>
      <w:r>
        <w:rPr>
          <w:rFonts w:hint="eastAsia" w:eastAsia="楷体_GB2312"/>
          <w:szCs w:val="21"/>
        </w:rPr>
        <w:t>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六、比较优势理论与绝对优势理论的关系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第三节  </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w:t>
      </w:r>
      <w:bookmarkStart w:id="5" w:name="_Toc77354004"/>
      <w:bookmarkStart w:id="6" w:name="_Toc77353748"/>
      <w:bookmarkStart w:id="7" w:name="_Toc77605920"/>
    </w:p>
    <w:bookmarkEnd w:id="5"/>
    <w:bookmarkEnd w:id="6"/>
    <w:bookmarkEnd w:id="7"/>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理论的内容</w:t>
      </w:r>
    </w:p>
    <w:p>
      <w:pPr>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szCs w:val="21"/>
        </w:rPr>
        <w:t>三、对</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理论评价</w:t>
      </w:r>
    </w:p>
    <w:p>
      <w:pPr>
        <w:adjustRightInd w:val="0"/>
        <w:snapToGrid w:val="0"/>
        <w:ind w:firstLine="420"/>
        <w:rPr>
          <w:rFonts w:hint="eastAsia" w:ascii="楷体_GB2312" w:hAnsi="宋体" w:eastAsia="楷体_GB2312" w:cs="宋体"/>
          <w:bCs/>
          <w:color w:val="000000"/>
          <w:kern w:val="0"/>
          <w:szCs w:val="21"/>
        </w:rPr>
      </w:pPr>
      <w:r>
        <w:rPr>
          <w:rFonts w:hint="eastAsia" w:ascii="楷体_GB2312" w:hAnsi="宋体" w:eastAsia="楷体_GB2312"/>
          <w:bCs/>
          <w:color w:val="000000"/>
          <w:szCs w:val="21"/>
        </w:rPr>
        <w:t xml:space="preserve">第四节  </w:t>
      </w:r>
      <w:r>
        <w:rPr>
          <w:rFonts w:hint="eastAsia" w:ascii="楷体_GB2312" w:hAnsi="宋体" w:eastAsia="楷体_GB2312" w:cs="宋体"/>
          <w:bCs/>
          <w:color w:val="000000"/>
          <w:kern w:val="0"/>
          <w:szCs w:val="21"/>
        </w:rPr>
        <w:t>比较优势的度量指标</w:t>
      </w:r>
    </w:p>
    <w:p>
      <w:pPr>
        <w:adjustRightInd w:val="0"/>
        <w:snapToGrid w:val="0"/>
        <w:ind w:firstLine="840" w:firstLineChars="400"/>
        <w:rPr>
          <w:rStyle w:val="11"/>
          <w:rFonts w:hint="eastAsia" w:ascii="楷体_GB2312" w:hAnsi="宋体" w:eastAsia="楷体_GB2312"/>
          <w:b w:val="0"/>
          <w:color w:val="000000"/>
          <w:szCs w:val="21"/>
        </w:rPr>
      </w:pPr>
      <w:r>
        <w:rPr>
          <w:rStyle w:val="11"/>
          <w:rFonts w:hint="eastAsia" w:ascii="楷体_GB2312" w:hAnsi="宋体" w:eastAsia="楷体_GB2312"/>
          <w:b w:val="0"/>
          <w:color w:val="000000"/>
          <w:szCs w:val="21"/>
        </w:rPr>
        <w:t>一</w:t>
      </w:r>
      <w:r>
        <w:rPr>
          <w:rStyle w:val="17"/>
          <w:rFonts w:hint="eastAsia" w:ascii="楷体_GB2312" w:hAnsi="宋体" w:eastAsia="楷体_GB2312"/>
          <w:bCs/>
          <w:color w:val="000000"/>
          <w:sz w:val="21"/>
          <w:szCs w:val="21"/>
        </w:rPr>
        <w:t>、</w:t>
      </w:r>
      <w:r>
        <w:rPr>
          <w:rStyle w:val="11"/>
          <w:rFonts w:hint="eastAsia" w:ascii="楷体_GB2312" w:hAnsi="宋体" w:eastAsia="楷体_GB2312"/>
          <w:b w:val="0"/>
          <w:color w:val="000000"/>
          <w:szCs w:val="21"/>
        </w:rPr>
        <w:t>显示性比较优势指数</w:t>
      </w:r>
    </w:p>
    <w:p>
      <w:pPr>
        <w:adjustRightInd w:val="0"/>
        <w:snapToGrid w:val="0"/>
        <w:ind w:firstLine="840" w:firstLineChars="400"/>
        <w:rPr>
          <w:rStyle w:val="16"/>
          <w:rFonts w:hint="eastAsia" w:ascii="楷体_GB2312" w:hAnsi="宋体" w:eastAsia="楷体_GB2312"/>
          <w:bCs/>
          <w:sz w:val="21"/>
          <w:szCs w:val="21"/>
        </w:rPr>
      </w:pPr>
      <w:r>
        <w:rPr>
          <w:rStyle w:val="16"/>
          <w:rFonts w:hint="eastAsia" w:ascii="楷体_GB2312" w:hAnsi="宋体" w:eastAsia="楷体_GB2312"/>
          <w:bCs/>
          <w:sz w:val="21"/>
          <w:szCs w:val="21"/>
        </w:rPr>
        <w:t>二、区域显示性比较优势指数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三、贸易竞争优势指数</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第三章  新古典国际贸易理论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赫克歇尔—俄林的要素禀赋理论</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bCs/>
          <w:sz w:val="21"/>
          <w:szCs w:val="21"/>
        </w:rPr>
      </w:pPr>
      <w:r>
        <w:rPr>
          <w:rFonts w:hint="eastAsia" w:ascii="楷体_GB2312" w:hAnsi="宋体" w:eastAsia="楷体_GB2312"/>
          <w:bCs/>
          <w:sz w:val="21"/>
          <w:szCs w:val="21"/>
        </w:rPr>
        <w:t>一、要素禀赋理论产生的背景</w:t>
      </w:r>
    </w:p>
    <w:p>
      <w:pPr>
        <w:pStyle w:val="12"/>
        <w:widowControl w:val="0"/>
        <w:adjustRightInd w:val="0"/>
        <w:snapToGrid w:val="0"/>
        <w:spacing w:before="0" w:beforeAutospacing="0" w:after="0" w:afterAutospacing="0" w:line="240" w:lineRule="auto"/>
        <w:ind w:firstLine="840" w:firstLineChars="400"/>
        <w:rPr>
          <w:rStyle w:val="18"/>
          <w:rFonts w:hint="eastAsia" w:ascii="楷体_GB2312" w:hAnsi="宋体" w:eastAsia="楷体_GB2312"/>
          <w:bCs/>
          <w:sz w:val="21"/>
          <w:szCs w:val="21"/>
        </w:rPr>
      </w:pPr>
      <w:r>
        <w:rPr>
          <w:rFonts w:hint="eastAsia" w:ascii="楷体_GB2312" w:hAnsi="宋体" w:eastAsia="楷体_GB2312"/>
          <w:sz w:val="21"/>
          <w:szCs w:val="21"/>
        </w:rPr>
        <w:t>二、要素禀赋</w:t>
      </w:r>
      <w:r>
        <w:rPr>
          <w:rStyle w:val="18"/>
          <w:rFonts w:hint="eastAsia" w:ascii="楷体_GB2312" w:hAnsi="宋体" w:eastAsia="楷体_GB2312"/>
          <w:bCs/>
          <w:sz w:val="21"/>
          <w:szCs w:val="21"/>
        </w:rPr>
        <w:t>理论</w:t>
      </w:r>
      <w:r>
        <w:rPr>
          <w:rFonts w:hint="eastAsia" w:ascii="楷体_GB2312" w:hAnsi="宋体" w:eastAsia="楷体_GB2312"/>
          <w:sz w:val="21"/>
          <w:szCs w:val="21"/>
        </w:rPr>
        <w:t>的基本</w:t>
      </w:r>
      <w:r>
        <w:rPr>
          <w:rStyle w:val="18"/>
          <w:rFonts w:hint="eastAsia" w:ascii="楷体_GB2312" w:hAnsi="宋体" w:eastAsia="楷体_GB2312"/>
          <w:bCs/>
          <w:sz w:val="21"/>
          <w:szCs w:val="21"/>
        </w:rPr>
        <w:t>假设</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三、要素禀赋理论</w:t>
      </w:r>
      <w:r>
        <w:rPr>
          <w:rStyle w:val="11"/>
          <w:rFonts w:hint="eastAsia" w:ascii="楷体_GB2312" w:hAnsi="宋体" w:eastAsia="楷体_GB2312"/>
          <w:b w:val="0"/>
          <w:sz w:val="21"/>
          <w:szCs w:val="21"/>
        </w:rPr>
        <w:t>中</w:t>
      </w:r>
      <w:r>
        <w:rPr>
          <w:rFonts w:hint="eastAsia" w:ascii="楷体_GB2312" w:hAnsi="宋体" w:eastAsia="楷体_GB2312"/>
          <w:sz w:val="21"/>
          <w:szCs w:val="21"/>
        </w:rPr>
        <w:t>的基本概念</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四、要素禀赋理论的基本内容</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五、对赫克歇尔-俄林模型的评价</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对赫克歇尔-俄林模型的验证</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一、对H-O模型验证的背景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二、里昂惕夫对H-O模型的经验检验</w:t>
      </w:r>
      <w:bookmarkStart w:id="8" w:name="_Toc77605930"/>
      <w:bookmarkStart w:id="9" w:name="_Toc77354014"/>
      <w:bookmarkStart w:id="10" w:name="_Toc77353758"/>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三、其他经济学家对H-O模型的经验检验</w:t>
      </w:r>
      <w:bookmarkEnd w:id="8"/>
      <w:bookmarkEnd w:id="9"/>
      <w:bookmarkEnd w:id="10"/>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对“里昂惕夫之迷”的解释</w:t>
      </w:r>
    </w:p>
    <w:p>
      <w:pPr>
        <w:pStyle w:val="8"/>
        <w:widowControl w:val="0"/>
        <w:adjustRightInd w:val="0"/>
        <w:snapToGrid w:val="0"/>
        <w:spacing w:before="0" w:beforeAutospacing="0" w:after="0" w:afterAutospacing="0"/>
        <w:ind w:firstLine="840" w:firstLineChars="400"/>
        <w:rPr>
          <w:rFonts w:hint="eastAsia" w:ascii="楷体_GB2312" w:eastAsia="楷体_GB2312"/>
          <w:sz w:val="21"/>
          <w:szCs w:val="21"/>
        </w:rPr>
      </w:pPr>
      <w:r>
        <w:rPr>
          <w:rFonts w:hint="eastAsia" w:ascii="楷体_GB2312" w:eastAsia="楷体_GB2312"/>
          <w:sz w:val="21"/>
          <w:szCs w:val="21"/>
        </w:rPr>
        <w:t>一、针对里昂惕夫检验方法的解释</w:t>
      </w:r>
      <w:bookmarkStart w:id="11" w:name="_Toc77605934"/>
      <w:bookmarkStart w:id="12" w:name="_Toc77354018"/>
      <w:bookmarkStart w:id="13" w:name="_Toc77353762"/>
    </w:p>
    <w:p>
      <w:pPr>
        <w:pStyle w:val="8"/>
        <w:widowControl w:val="0"/>
        <w:adjustRightInd w:val="0"/>
        <w:snapToGrid w:val="0"/>
        <w:spacing w:before="0" w:beforeAutospacing="0" w:after="0" w:afterAutospacing="0"/>
        <w:ind w:firstLine="840" w:firstLineChars="400"/>
        <w:rPr>
          <w:rFonts w:hint="eastAsia" w:ascii="楷体_GB2312" w:eastAsia="楷体_GB2312"/>
          <w:sz w:val="21"/>
          <w:szCs w:val="21"/>
        </w:rPr>
      </w:pPr>
      <w:r>
        <w:rPr>
          <w:rFonts w:hint="eastAsia" w:ascii="楷体_GB2312" w:eastAsia="楷体_GB2312"/>
          <w:sz w:val="21"/>
          <w:szCs w:val="21"/>
        </w:rPr>
        <w:t>二</w:t>
      </w:r>
      <w:bookmarkEnd w:id="11"/>
      <w:bookmarkEnd w:id="12"/>
      <w:bookmarkEnd w:id="13"/>
      <w:r>
        <w:rPr>
          <w:rFonts w:hint="eastAsia" w:ascii="楷体_GB2312" w:eastAsia="楷体_GB2312"/>
          <w:sz w:val="21"/>
          <w:szCs w:val="21"/>
        </w:rPr>
        <w:t>、针对H-O模型内容的解释</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赫克歇尔—俄林模型的拓展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一、斯托尔珀-萨缪尔森定理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二、H-O-S定理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三、雷布钦斯基定理</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第四章  当代新国际贸易理论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产品生命周期理论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一、产品生命周期的理论基础</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二、产品生命周期理论的基本内容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三、产品生命周期理论的扩展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四、产品生命周期理论的意义及局限性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产业内贸易理论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一、产业内贸易的概念、类型与特点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二、产业内贸易的测量指标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三、产业内贸易的理论解释</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四、产业内贸易与产业间贸易的比较</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五、对产业内贸易理论的评价</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规模经济理论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一、早期关于规模经济与国际贸易的主要论点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二、规模经济与国际贸易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需求偏好重叠理论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一、需求偏好重叠理论的提出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二、重叠需求与国际贸易</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三、需求偏好重叠理论的意义</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国家竞争优势理论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一、国家竞争优势理论的核心观点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二、国家竞争优势理论的思想体系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三、国家竞争优势理论的意义与局限性</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第五章  保护贸易理论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重商主义贸易理论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一、重商主义产生和发展的历史条件</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二、重商主义的发展阶段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三、重商主义经济学说的基本观点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四、重商主义贸易理论的意义及局限性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幼稚产业保护理论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一、幼稚产业保护论提出的历史背景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二、幼稚产业的判断标准（M-B-K标准）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三、幼稚产业保护论的理论基础与依据</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四、幼稚产业保护论的基本观点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五、幼稚工业保护论的意义及局限性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超保护贸易理论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一、凯恩斯主义超保护贸易理论产生的历史背景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二、凯恩斯主义超保护贸易论的思想内容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三、凯恩斯主义超保护贸易理论的意义及局限性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战略性贸易理论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一、战略性贸易理论产生的历史背景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二、战略性贸易理论的基本思想内容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三、战略性国际贸易理论的效果分析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四、实施战略性贸易政策的意义及局限性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其他贸易保护理论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一、保护关税理论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二、中心—外围理论（结构主义贸易保护理论）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三、管理贸易理论</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第六章  关税措施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关税概述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一、关税的概念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二、关税的性质与特点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三、关税的作用</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关税的分类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一、按征收对象或商品流动方向分类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二、按征税目的分类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三、按特定的实施情况分类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四、按差别待遇分类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五、按征收标准分类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关税的征收</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一、关税的征收依据</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二、关税的征收方法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三、关税的征收程序</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关税的经济效应</w:t>
      </w:r>
      <w:bookmarkStart w:id="14" w:name="_Toc171395196"/>
      <w:bookmarkStart w:id="15" w:name="_Toc171395236"/>
      <w:bookmarkStart w:id="16" w:name="_Toc171396207"/>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cs="Arial"/>
          <w:bCs/>
          <w:color w:val="000000"/>
          <w:kern w:val="0"/>
          <w:szCs w:val="21"/>
        </w:rPr>
        <w:t>一、贸易“小国”关税经济效应</w:t>
      </w:r>
      <w:bookmarkEnd w:id="14"/>
      <w:bookmarkEnd w:id="15"/>
      <w:bookmarkEnd w:id="16"/>
      <w:r>
        <w:rPr>
          <w:rFonts w:hint="eastAsia" w:ascii="楷体_GB2312" w:hAnsi="宋体" w:eastAsia="楷体_GB2312" w:cs="Arial"/>
          <w:bCs/>
          <w:color w:val="000000"/>
          <w:kern w:val="0"/>
          <w:szCs w:val="21"/>
        </w:rPr>
        <w:t>的</w:t>
      </w:r>
      <w:r>
        <w:rPr>
          <w:rFonts w:hint="eastAsia" w:ascii="楷体_GB2312" w:hAnsi="宋体" w:eastAsia="楷体_GB2312"/>
          <w:bCs/>
          <w:color w:val="000000"/>
          <w:szCs w:val="21"/>
        </w:rPr>
        <w:t>局部均衡分析</w:t>
      </w:r>
      <w:bookmarkStart w:id="17" w:name="_Toc171395198"/>
      <w:bookmarkStart w:id="18" w:name="_Toc171395238"/>
      <w:bookmarkStart w:id="19" w:name="_Toc171396209"/>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cs="Arial"/>
          <w:bCs/>
          <w:color w:val="000000"/>
          <w:kern w:val="0"/>
          <w:szCs w:val="21"/>
        </w:rPr>
        <w:t>二、贸易“大国”关税经济效应的</w:t>
      </w:r>
      <w:r>
        <w:rPr>
          <w:rFonts w:hint="eastAsia" w:ascii="楷体_GB2312" w:hAnsi="宋体" w:eastAsia="楷体_GB2312"/>
          <w:bCs/>
          <w:color w:val="000000"/>
          <w:szCs w:val="21"/>
        </w:rPr>
        <w:t>局部均衡分析</w:t>
      </w:r>
    </w:p>
    <w:bookmarkEnd w:id="17"/>
    <w:bookmarkEnd w:id="18"/>
    <w:bookmarkEnd w:id="19"/>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关税的保护程度</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一、关税水平</w:t>
      </w:r>
    </w:p>
    <w:p>
      <w:pPr>
        <w:adjustRightInd w:val="0"/>
        <w:snapToGrid w:val="0"/>
        <w:ind w:firstLine="840" w:firstLineChars="400"/>
        <w:rPr>
          <w:rFonts w:hint="eastAsia" w:ascii="楷体_GB2312" w:hAnsi="宋体" w:eastAsia="楷体_GB2312" w:cs="Arial"/>
          <w:bCs/>
          <w:color w:val="000000"/>
          <w:kern w:val="0"/>
          <w:szCs w:val="21"/>
        </w:rPr>
      </w:pPr>
      <w:r>
        <w:rPr>
          <w:rFonts w:hint="eastAsia" w:ascii="楷体_GB2312" w:hAnsi="宋体" w:eastAsia="楷体_GB2312" w:cs="Arial"/>
          <w:bCs/>
          <w:color w:val="000000"/>
          <w:kern w:val="0"/>
          <w:szCs w:val="21"/>
        </w:rPr>
        <w:t>二、关税保护率</w:t>
      </w:r>
    </w:p>
    <w:p>
      <w:pPr>
        <w:adjustRightInd w:val="0"/>
        <w:snapToGrid w:val="0"/>
        <w:ind w:firstLine="840" w:firstLineChars="400"/>
        <w:rPr>
          <w:rFonts w:hint="eastAsia" w:ascii="楷体_GB2312" w:hAnsi="宋体" w:eastAsia="楷体_GB2312" w:cs="Arial"/>
          <w:bCs/>
          <w:color w:val="000000"/>
          <w:kern w:val="0"/>
          <w:szCs w:val="21"/>
        </w:rPr>
      </w:pPr>
      <w:r>
        <w:rPr>
          <w:rFonts w:hint="eastAsia" w:ascii="楷体_GB2312" w:hAnsi="宋体" w:eastAsia="楷体_GB2312" w:cs="Arial"/>
          <w:bCs/>
          <w:color w:val="000000"/>
          <w:kern w:val="0"/>
          <w:szCs w:val="21"/>
        </w:rPr>
        <w:t>三、关税结构</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第七章  非关税措施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非关税措施概述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一、非关税壁垒的含义</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二、非关税壁垒的特点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三、非关税壁垒的作用</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四、非关税壁垒的种类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直接限制进口的非关税壁垒措施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一、进口配额</w:t>
      </w:r>
      <w:bookmarkStart w:id="20" w:name="_Toc471338090"/>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二、自动出口配额</w:t>
      </w:r>
      <w:bookmarkEnd w:id="20"/>
      <w:bookmarkStart w:id="21" w:name="_Toc471338091"/>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bCs/>
          <w:color w:val="000000"/>
          <w:szCs w:val="21"/>
        </w:rPr>
        <w:t>三、</w:t>
      </w:r>
      <w:r>
        <w:rPr>
          <w:rFonts w:hint="eastAsia" w:ascii="楷体_GB2312" w:hAnsi="宋体" w:eastAsia="楷体_GB2312" w:cs="宋体"/>
          <w:bCs/>
          <w:color w:val="000000"/>
          <w:kern w:val="0"/>
          <w:szCs w:val="21"/>
        </w:rPr>
        <w:t>进口许可证</w:t>
      </w:r>
    </w:p>
    <w:bookmarkEnd w:id="21"/>
    <w:p>
      <w:pPr>
        <w:widowControl/>
        <w:adjustRightInd w:val="0"/>
        <w:snapToGrid w:val="0"/>
        <w:ind w:firstLine="420" w:firstLineChars="200"/>
        <w:rPr>
          <w:rFonts w:hint="eastAsia" w:ascii="楷体_GB2312" w:hAnsi="宋体" w:eastAsia="楷体_GB2312" w:cs="宋体"/>
          <w:bCs/>
          <w:i/>
          <w:color w:val="000000"/>
          <w:kern w:val="0"/>
          <w:szCs w:val="21"/>
        </w:rPr>
      </w:pPr>
      <w:r>
        <w:rPr>
          <w:rFonts w:hint="eastAsia" w:ascii="楷体_GB2312" w:hAnsi="宋体" w:eastAsia="楷体_GB2312" w:cs="宋体"/>
          <w:bCs/>
          <w:color w:val="000000"/>
          <w:kern w:val="0"/>
          <w:szCs w:val="21"/>
        </w:rPr>
        <w:t>第三节  间接限制进口的非关税壁垒措施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w:t>
      </w:r>
      <w:bookmarkStart w:id="22" w:name="_Toc471338092"/>
      <w:r>
        <w:rPr>
          <w:rFonts w:hint="eastAsia" w:ascii="楷体_GB2312" w:hAnsi="宋体" w:eastAsia="楷体_GB2312" w:cs="宋体"/>
          <w:bCs/>
          <w:color w:val="000000"/>
          <w:kern w:val="0"/>
          <w:szCs w:val="21"/>
        </w:rPr>
        <w:t>外汇管制</w:t>
      </w:r>
      <w:bookmarkEnd w:id="22"/>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二、歧视性政府采购政策</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三、海关程序</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四、技术性贸易壁垒</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五、进出口的国家垄断</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六、进口押金制</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七、最低限价制和禁止进口</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八、国内税</w:t>
      </w:r>
    </w:p>
    <w:p>
      <w:pPr>
        <w:widowControl/>
        <w:adjustRightInd w:val="0"/>
        <w:snapToGrid w:val="0"/>
        <w:ind w:firstLine="420" w:firstLineChars="2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第四节  新型非关税壁垒措施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一、绿色贸易壁垒</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二、蓝色贸易壁垒</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三、反倾销措施</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四、反补贴措施</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五、保障措施</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第八章  出口鼓励与出口管制措施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出口鼓励措施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一、财政政策措施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二、信贷政策措施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三、出口信用保险措施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四、倾销政策措施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五、资本政策措施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六、特区政策措施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七、产业政策措施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八、行政组织措施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九、其他措施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主要出口鼓励措施的经济效应分析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一、出口补贴的经济效应分析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二、商品倾销的经济效应分析</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出口管制措施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一、出口管制的目的</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二、出口管制的对象</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三、出口管制的形式</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四、出口管制的程序</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五、出口管制的措施</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第九章  世界贸易组织</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关税与贸易总协定</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一、关税与贸易总协定的产生</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二、关贸总协定的历次多边贸易谈判</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三、关贸总协定的作用</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四、关贸总协定的局限性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一、世界贸易组织的产生</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二、世界贸易组织的宗旨、目标和职能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三、世界贸易组织的原则</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四、世界贸易组织的组织机构及其职能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五、世界贸易组织与GATT的区别</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中国与世界贸易组织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一、中国与关税贸易总协定</w:t>
      </w:r>
    </w:p>
    <w:p>
      <w:pPr>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二、中国与世界贸易组织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三、中国加入世贸组织后的权利和义务</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第十章  区域经济一体化</w:t>
      </w:r>
    </w:p>
    <w:p>
      <w:pPr>
        <w:pStyle w:val="5"/>
        <w:adjustRightInd w:val="0"/>
        <w:snapToGrid w:val="0"/>
        <w:spacing w:before="0" w:beforeAutospacing="0" w:after="0" w:afterAutospacing="0"/>
        <w:ind w:firstLine="420" w:firstLineChars="200"/>
        <w:rPr>
          <w:rFonts w:hint="eastAsia" w:ascii="楷体_GB2312" w:eastAsia="楷体_GB2312"/>
          <w:bCs/>
          <w:color w:val="000000"/>
          <w:sz w:val="21"/>
          <w:szCs w:val="21"/>
        </w:rPr>
      </w:pPr>
      <w:r>
        <w:rPr>
          <w:rFonts w:hint="eastAsia" w:ascii="楷体_GB2312" w:eastAsia="楷体_GB2312"/>
          <w:bCs/>
          <w:color w:val="000000"/>
          <w:sz w:val="21"/>
          <w:szCs w:val="21"/>
        </w:rPr>
        <w:t>第一节  区域经济一体化概述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一、区域经济一体化的概念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二、区域经济一体化的类型</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三、区域经济一体化的兴起</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四、区域经济一体化的影响和作用</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关税同盟理论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一、关税同盟的静态效应</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二、关税同盟的动态效应</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区域经济一体化的其他理论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一、大市场理论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二、协议性国际分工理论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三、综合发展战略理论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四、相互依赖理论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五、工业偏好理论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第四节  区域经济一体化的实践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一、发达国家之间的区域经济一体化组织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二、发展中国家之间的区域经济一体化组织</w:t>
      </w:r>
    </w:p>
    <w:p>
      <w:pPr>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三、发达国家与发展中国家之间的区域经济一体化组织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四、经济一体化的新模式：开放的区域经济一体化</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第十一章  国际资本流动、跨国公司与国际贸易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国际资本流动概述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一、国际资本流动的定义、原因和类型</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二、国际资本流动的格局</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三、国际资本流动的原理及效应分析</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国际直接投资与国际贸易的关系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一、国际资本流动与贸易的替代关系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二、国际资本流动与贸易的互补关系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三、《与贸易有关的投资措施协议》</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第三节  跨国公司与国际贸易 </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一、跨国公司定义、类型和特征</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二、跨国公司内部贸易与转移价格</w:t>
      </w:r>
    </w:p>
    <w:p>
      <w:pPr>
        <w:adjustRightInd w:val="0"/>
        <w:snapToGrid w:val="0"/>
        <w:ind w:firstLine="840" w:firstLineChars="400"/>
        <w:rPr>
          <w:rFonts w:hint="eastAsia" w:ascii="楷体_GB2312" w:hAnsi="宋体" w:eastAsia="楷体_GB2312"/>
          <w:color w:val="000000"/>
          <w:szCs w:val="21"/>
        </w:rPr>
      </w:pPr>
      <w:r>
        <w:rPr>
          <w:rFonts w:hint="eastAsia" w:ascii="楷体_GB2312" w:hAnsi="宋体" w:eastAsia="楷体_GB2312"/>
          <w:color w:val="000000"/>
          <w:szCs w:val="21"/>
        </w:rPr>
        <w:t>三、跨国公司国际直接投资理论</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第十二章  国际服务贸易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国际服务贸易的产生与发展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一、国际服务贸易的产生和发展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二、现代国际服务贸易发展的特点和原因</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国际服务贸易内涵、分类与统计</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一、国际服务贸易的内涵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二、国际服务贸易的分类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三、国际服务贸易的统计方法</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国际服务贸易理论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一、国际服务贸易理论研究的兴起及研究特点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二、国际服务贸易理论对传统贸易理论的修正</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三、服务贸易自由化理论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《服务贸易总协定》</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一、服务贸易总协定的签署</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二、《服务贸易总协定》的框架结构</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三、《服务贸易总协定》的作用</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第十三章  《INCOTERMS 2020》中的贸易术语</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cs="宋体"/>
          <w:kern w:val="0"/>
          <w:szCs w:val="21"/>
        </w:rPr>
        <w:t>第一节  国际贸易术语及其相关的国际惯例</w:t>
      </w:r>
    </w:p>
    <w:p>
      <w:pPr>
        <w:autoSpaceDE w:val="0"/>
        <w:autoSpaceDN w:val="0"/>
        <w:adjustRightInd w:val="0"/>
        <w:snapToGrid w:val="0"/>
        <w:ind w:firstLine="840" w:firstLineChars="400"/>
        <w:rPr>
          <w:rFonts w:hint="eastAsia" w:ascii="楷体_GB2312" w:hAnsi="宋体" w:eastAsia="楷体_GB2312" w:cs="宋体"/>
          <w:kern w:val="0"/>
          <w:szCs w:val="21"/>
        </w:rPr>
      </w:pPr>
      <w:r>
        <w:rPr>
          <w:rFonts w:hint="eastAsia" w:ascii="楷体_GB2312" w:hAnsi="宋体" w:eastAsia="楷体_GB2312" w:cs="宋体"/>
          <w:kern w:val="0"/>
          <w:szCs w:val="21"/>
        </w:rPr>
        <w:t>一、国际贸易术语</w:t>
      </w:r>
    </w:p>
    <w:p>
      <w:pPr>
        <w:autoSpaceDE w:val="0"/>
        <w:autoSpaceDN w:val="0"/>
        <w:adjustRightInd w:val="0"/>
        <w:snapToGrid w:val="0"/>
        <w:ind w:firstLine="840" w:firstLineChars="400"/>
        <w:rPr>
          <w:rFonts w:hint="eastAsia" w:ascii="楷体_GB2312" w:hAnsi="宋体" w:eastAsia="楷体_GB2312" w:cs="宋体"/>
          <w:snapToGrid w:val="0"/>
          <w:kern w:val="0"/>
          <w:szCs w:val="21"/>
        </w:rPr>
      </w:pPr>
      <w:r>
        <w:rPr>
          <w:rFonts w:hint="eastAsia" w:ascii="楷体_GB2312" w:hAnsi="宋体" w:eastAsia="楷体_GB2312" w:cs="宋体"/>
          <w:snapToGrid w:val="0"/>
          <w:kern w:val="0"/>
          <w:szCs w:val="21"/>
        </w:rPr>
        <w:t>二、国际贸易惯例</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cs="宋体"/>
          <w:kern w:val="0"/>
          <w:szCs w:val="21"/>
        </w:rPr>
        <w:t>第二节  适用于各种运输方式的贸易术语</w:t>
      </w:r>
    </w:p>
    <w:p>
      <w:pPr>
        <w:adjustRightInd w:val="0"/>
        <w:snapToGrid w:val="0"/>
        <w:ind w:firstLine="840" w:firstLineChars="400"/>
        <w:rPr>
          <w:rFonts w:hint="eastAsia" w:ascii="楷体_GB2312" w:hAnsi="宋体" w:eastAsia="楷体_GB2312" w:cs="宋体"/>
          <w:kern w:val="0"/>
          <w:szCs w:val="21"/>
        </w:rPr>
      </w:pPr>
      <w:r>
        <w:rPr>
          <w:rFonts w:hint="eastAsia" w:ascii="楷体_GB2312" w:hAnsi="宋体" w:eastAsia="楷体_GB2312" w:cs="宋体"/>
          <w:kern w:val="0"/>
          <w:szCs w:val="21"/>
        </w:rPr>
        <w:t>一、EXW</w:t>
      </w:r>
    </w:p>
    <w:p>
      <w:pPr>
        <w:adjustRightInd w:val="0"/>
        <w:snapToGrid w:val="0"/>
        <w:ind w:firstLine="840" w:firstLineChars="400"/>
        <w:jc w:val="left"/>
        <w:rPr>
          <w:rFonts w:hint="eastAsia" w:ascii="楷体_GB2312" w:hAnsi="宋体" w:eastAsia="楷体_GB2312" w:cs="宋体"/>
          <w:kern w:val="0"/>
          <w:szCs w:val="21"/>
        </w:rPr>
      </w:pPr>
      <w:r>
        <w:rPr>
          <w:rFonts w:hint="eastAsia" w:ascii="楷体_GB2312" w:hAnsi="宋体" w:eastAsia="楷体_GB2312" w:cs="宋体"/>
          <w:kern w:val="0"/>
          <w:szCs w:val="21"/>
        </w:rPr>
        <w:t>二、FCA、CPT和CIP术语</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cs="宋体"/>
          <w:kern w:val="0"/>
          <w:szCs w:val="21"/>
        </w:rPr>
        <w:t>三、DAP、DPU和DDP术语</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cs="宋体"/>
          <w:kern w:val="0"/>
          <w:szCs w:val="21"/>
        </w:rPr>
        <w:t>第三节  适用于海上和内河运输方式的贸易术语</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一、FAS</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二、FOB、CFR和CIF术语</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cs="宋体"/>
          <w:kern w:val="0"/>
          <w:szCs w:val="21"/>
        </w:rPr>
        <w:t>第五节  国际贸易术语的运用</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一、贸易术语与买卖合同性质的关系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二、各组贸易术语的不同特点</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三、选用贸易术语应考虑的因素</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第十四章  商品的品名、品质、数量和包装</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szCs w:val="21"/>
        </w:rPr>
        <w:t>第一节  商品的品名</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一、商品的品名</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二、品名条款的内容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三、规定品名条款应注意的事项 </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cs="宋体"/>
          <w:kern w:val="0"/>
          <w:szCs w:val="21"/>
        </w:rPr>
        <w:t>第二节  商品的品质</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一、商品品质的重要性和约定品质条件的意义</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二、表示商品品质的方法</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三、合同中的品质条款 </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cs="宋体"/>
          <w:kern w:val="0"/>
          <w:szCs w:val="21"/>
        </w:rPr>
        <w:t>第三节  商品的数量</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一、约定商品数量的意义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二、 计量单位和计量方法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三、数量条款的规定</w:t>
      </w:r>
    </w:p>
    <w:p>
      <w:pPr>
        <w:adjustRightInd w:val="0"/>
        <w:snapToGrid w:val="0"/>
        <w:ind w:firstLine="420"/>
        <w:rPr>
          <w:rFonts w:hint="eastAsia" w:ascii="楷体_GB2312" w:hAnsi="宋体" w:eastAsia="楷体_GB2312" w:cs="宋体"/>
          <w:kern w:val="0"/>
          <w:szCs w:val="21"/>
        </w:rPr>
      </w:pPr>
      <w:r>
        <w:rPr>
          <w:rFonts w:hint="eastAsia" w:ascii="楷体_GB2312" w:hAnsi="宋体" w:eastAsia="楷体_GB2312" w:cs="宋体"/>
          <w:kern w:val="0"/>
          <w:szCs w:val="21"/>
        </w:rPr>
        <w:t>第四节  商品的包装</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w:t>
      </w:r>
      <w:r>
        <w:rPr>
          <w:rFonts w:hint="eastAsia" w:ascii="楷体_GB2312" w:hAnsi="宋体" w:eastAsia="楷体_GB2312" w:cs="宋体"/>
          <w:kern w:val="0"/>
          <w:szCs w:val="21"/>
        </w:rPr>
        <w:t>商品</w:t>
      </w:r>
      <w:r>
        <w:rPr>
          <w:rFonts w:hint="eastAsia" w:ascii="楷体_GB2312" w:hAnsi="宋体" w:eastAsia="楷体_GB2312"/>
          <w:szCs w:val="21"/>
        </w:rPr>
        <w:t xml:space="preserve">包装的重要性和约定包装条件的意义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二、商品包装的种类</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三、中性包装、定牌生产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四、包装条款的规定</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第十五章  国际货物运输</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第一节  国际货物运输方式</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一、海洋运输</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二、铁路运输</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三、航空运输</w:t>
      </w:r>
    </w:p>
    <w:p>
      <w:pPr>
        <w:pStyle w:val="8"/>
        <w:widowControl w:val="0"/>
        <w:adjustRightInd w:val="0"/>
        <w:snapToGrid w:val="0"/>
        <w:spacing w:before="0" w:beforeAutospacing="0" w:after="0" w:afterAutospacing="0"/>
        <w:ind w:firstLine="840" w:firstLineChars="400"/>
        <w:rPr>
          <w:rStyle w:val="19"/>
          <w:rFonts w:hint="eastAsia" w:ascii="楷体_GB2312" w:eastAsia="楷体_GB2312"/>
          <w:sz w:val="21"/>
          <w:szCs w:val="21"/>
        </w:rPr>
      </w:pPr>
      <w:r>
        <w:rPr>
          <w:rFonts w:hint="eastAsia" w:ascii="楷体_GB2312" w:eastAsia="楷体_GB2312"/>
          <w:sz w:val="21"/>
          <w:szCs w:val="21"/>
        </w:rPr>
        <w:t>四、</w:t>
      </w:r>
      <w:r>
        <w:rPr>
          <w:rStyle w:val="19"/>
          <w:rFonts w:hint="eastAsia" w:ascii="楷体_GB2312" w:eastAsia="楷体_GB2312"/>
          <w:sz w:val="21"/>
          <w:szCs w:val="21"/>
        </w:rPr>
        <w:t>集装箱运输</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五、国际多式联运</w:t>
      </w:r>
    </w:p>
    <w:p>
      <w:pPr>
        <w:pStyle w:val="13"/>
        <w:widowControl w:val="0"/>
        <w:adjustRightInd w:val="0"/>
        <w:snapToGrid w:val="0"/>
        <w:spacing w:before="0" w:beforeAutospacing="0" w:after="0" w:afterAutospacing="0"/>
        <w:ind w:firstLine="840" w:firstLineChars="400"/>
        <w:rPr>
          <w:rStyle w:val="19"/>
          <w:rFonts w:hint="eastAsia" w:ascii="楷体_GB2312" w:eastAsia="楷体_GB2312"/>
          <w:color w:val="auto"/>
        </w:rPr>
      </w:pPr>
      <w:r>
        <w:rPr>
          <w:rStyle w:val="19"/>
          <w:rFonts w:hint="eastAsia" w:ascii="楷体_GB2312" w:eastAsia="楷体_GB2312"/>
          <w:color w:val="auto"/>
        </w:rPr>
        <w:t>六、大陆桥运输</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七、其他运输方式</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第二节  国际货物装运条款</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一、装运时间</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二、装运港（地）和目的港（地）</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三、装卸时间、装卸率和滞期、速遣费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四、分批装运与转运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五、装运通知</w:t>
      </w:r>
    </w:p>
    <w:p>
      <w:pPr>
        <w:adjustRightInd w:val="0"/>
        <w:snapToGrid w:val="0"/>
        <w:ind w:firstLine="840" w:firstLineChars="400"/>
        <w:jc w:val="left"/>
        <w:rPr>
          <w:rStyle w:val="19"/>
          <w:rFonts w:hint="eastAsia" w:ascii="楷体_GB2312" w:hAnsi="宋体" w:eastAsia="楷体_GB2312"/>
          <w:szCs w:val="21"/>
        </w:rPr>
      </w:pPr>
      <w:r>
        <w:rPr>
          <w:rStyle w:val="19"/>
          <w:rFonts w:hint="eastAsia" w:ascii="楷体_GB2312" w:hAnsi="宋体" w:eastAsia="楷体_GB2312"/>
          <w:szCs w:val="21"/>
        </w:rPr>
        <w:t>六、合同中装运条款</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第三节  国际货物运输单据</w:t>
      </w:r>
    </w:p>
    <w:p>
      <w:pPr>
        <w:adjustRightInd w:val="0"/>
        <w:snapToGrid w:val="0"/>
        <w:ind w:firstLine="840" w:firstLineChars="400"/>
        <w:jc w:val="left"/>
        <w:rPr>
          <w:rStyle w:val="19"/>
          <w:rFonts w:hint="eastAsia" w:ascii="楷体_GB2312" w:hAnsi="宋体" w:eastAsia="楷体_GB2312"/>
          <w:szCs w:val="21"/>
        </w:rPr>
      </w:pPr>
      <w:r>
        <w:rPr>
          <w:rStyle w:val="19"/>
          <w:rFonts w:hint="eastAsia" w:ascii="楷体_GB2312" w:hAnsi="宋体" w:eastAsia="楷体_GB2312"/>
          <w:szCs w:val="21"/>
        </w:rPr>
        <w:t>一、运输单据概述</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二、海运提单</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三、其他运输单据</w:t>
      </w:r>
    </w:p>
    <w:p>
      <w:pPr>
        <w:adjustRightInd w:val="0"/>
        <w:snapToGrid w:val="0"/>
        <w:rPr>
          <w:rStyle w:val="19"/>
          <w:rFonts w:hint="eastAsia" w:ascii="楷体_GB2312" w:hAnsi="宋体" w:eastAsia="楷体_GB2312"/>
          <w:szCs w:val="21"/>
        </w:rPr>
      </w:pPr>
      <w:r>
        <w:rPr>
          <w:rStyle w:val="19"/>
          <w:rFonts w:hint="eastAsia" w:ascii="楷体_GB2312" w:hAnsi="宋体" w:eastAsia="楷体_GB2312"/>
          <w:szCs w:val="21"/>
        </w:rPr>
        <w:t>第十六章  国际货物运输保险</w:t>
      </w:r>
    </w:p>
    <w:p>
      <w:pPr>
        <w:adjustRightInd w:val="0"/>
        <w:snapToGrid w:val="0"/>
        <w:ind w:firstLine="420"/>
        <w:rPr>
          <w:rStyle w:val="19"/>
          <w:rFonts w:hint="eastAsia" w:ascii="楷体_GB2312" w:hAnsi="宋体" w:eastAsia="楷体_GB2312"/>
          <w:szCs w:val="21"/>
        </w:rPr>
      </w:pPr>
      <w:r>
        <w:rPr>
          <w:rStyle w:val="19"/>
          <w:rFonts w:hint="eastAsia" w:ascii="楷体_GB2312" w:hAnsi="宋体" w:eastAsia="楷体_GB2312"/>
          <w:szCs w:val="21"/>
        </w:rPr>
        <w:t>第一节  海上货物运输保险承保的范围</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一、风险</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二、损失</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三、费用</w:t>
      </w:r>
    </w:p>
    <w:p>
      <w:pPr>
        <w:adjustRightInd w:val="0"/>
        <w:snapToGrid w:val="0"/>
        <w:ind w:firstLine="420"/>
        <w:rPr>
          <w:rStyle w:val="19"/>
          <w:rFonts w:hint="eastAsia" w:ascii="楷体_GB2312" w:hAnsi="宋体" w:eastAsia="楷体_GB2312"/>
          <w:szCs w:val="21"/>
        </w:rPr>
      </w:pPr>
      <w:r>
        <w:rPr>
          <w:rStyle w:val="19"/>
          <w:rFonts w:hint="eastAsia" w:ascii="楷体_GB2312" w:hAnsi="宋体" w:eastAsia="楷体_GB2312"/>
          <w:szCs w:val="21"/>
        </w:rPr>
        <w:t>第二节  我国海运货物保险</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一、保险人承保责任范围</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二、除外责任</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三、责任起讫</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 xml:space="preserve">四、保险索赔期限 </w:t>
      </w:r>
    </w:p>
    <w:p>
      <w:pPr>
        <w:adjustRightInd w:val="0"/>
        <w:snapToGrid w:val="0"/>
        <w:ind w:firstLine="420"/>
        <w:rPr>
          <w:rStyle w:val="19"/>
          <w:rFonts w:hint="eastAsia" w:ascii="楷体_GB2312" w:hAnsi="宋体" w:eastAsia="楷体_GB2312"/>
          <w:szCs w:val="21"/>
        </w:rPr>
      </w:pPr>
      <w:r>
        <w:rPr>
          <w:rStyle w:val="19"/>
          <w:rFonts w:hint="eastAsia" w:ascii="楷体_GB2312" w:hAnsi="宋体" w:eastAsia="楷体_GB2312"/>
          <w:szCs w:val="21"/>
        </w:rPr>
        <w:t>第三节  伦敦保险协会海运货物保险</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 xml:space="preserve">一、海运货物保险种类 </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二、海运货物保险的主要内容</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三、海运货物保险的保险期限</w:t>
      </w:r>
    </w:p>
    <w:p>
      <w:pPr>
        <w:adjustRightInd w:val="0"/>
        <w:snapToGrid w:val="0"/>
        <w:ind w:firstLine="420"/>
        <w:rPr>
          <w:rStyle w:val="19"/>
          <w:rFonts w:hint="eastAsia" w:ascii="楷体_GB2312" w:hAnsi="宋体" w:eastAsia="楷体_GB2312"/>
          <w:szCs w:val="21"/>
        </w:rPr>
      </w:pPr>
      <w:r>
        <w:rPr>
          <w:rStyle w:val="19"/>
          <w:rFonts w:hint="eastAsia" w:ascii="楷体_GB2312" w:hAnsi="宋体" w:eastAsia="楷体_GB2312"/>
          <w:szCs w:val="21"/>
        </w:rPr>
        <w:t>第四节  其他运输方式下的货运保险</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一、陆上运输货物保险条款</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二、航空货物运输保险</w:t>
      </w:r>
    </w:p>
    <w:p>
      <w:pPr>
        <w:adjustRightInd w:val="0"/>
        <w:snapToGrid w:val="0"/>
        <w:ind w:firstLine="420"/>
        <w:rPr>
          <w:rStyle w:val="19"/>
          <w:rFonts w:hint="eastAsia" w:ascii="楷体_GB2312" w:hAnsi="宋体" w:eastAsia="楷体_GB2312"/>
          <w:szCs w:val="21"/>
        </w:rPr>
      </w:pPr>
      <w:r>
        <w:rPr>
          <w:rStyle w:val="19"/>
          <w:rFonts w:hint="eastAsia" w:ascii="楷体_GB2312" w:hAnsi="宋体" w:eastAsia="楷体_GB2312"/>
          <w:szCs w:val="21"/>
        </w:rPr>
        <w:t>第五节  进出口货物运输保险实务</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一、货物运输保险的投保</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 xml:space="preserve">二、保险索赔 </w:t>
      </w:r>
    </w:p>
    <w:p>
      <w:pPr>
        <w:adjustRightInd w:val="0"/>
        <w:snapToGrid w:val="0"/>
        <w:ind w:firstLine="840" w:firstLineChars="400"/>
        <w:rPr>
          <w:rStyle w:val="19"/>
          <w:rFonts w:hint="eastAsia" w:ascii="楷体_GB2312" w:hAnsi="宋体" w:eastAsia="楷体_GB2312"/>
          <w:szCs w:val="21"/>
        </w:rPr>
      </w:pPr>
      <w:r>
        <w:rPr>
          <w:rStyle w:val="19"/>
          <w:rFonts w:hint="eastAsia" w:ascii="楷体_GB2312" w:hAnsi="宋体" w:eastAsia="楷体_GB2312"/>
          <w:szCs w:val="21"/>
        </w:rPr>
        <w:t>三、买卖合同中的保险条款</w:t>
      </w:r>
    </w:p>
    <w:p>
      <w:pPr>
        <w:adjustRightInd w:val="0"/>
        <w:snapToGrid w:val="0"/>
        <w:rPr>
          <w:rFonts w:hint="eastAsia" w:ascii="楷体_GB2312" w:hAnsi="宋体" w:eastAsia="楷体_GB2312"/>
          <w:szCs w:val="21"/>
        </w:rPr>
      </w:pPr>
      <w:r>
        <w:rPr>
          <w:rFonts w:hint="eastAsia" w:ascii="楷体_GB2312" w:hAnsi="宋体" w:eastAsia="楷体_GB2312"/>
          <w:szCs w:val="21"/>
        </w:rPr>
        <w:t>第十七章  进出口商品的价格</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第一节  价格的制 定</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一、价格制定的原则</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二、影响进出口商品价格的各种因素</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三、制定进出口商品价格的方法</w:t>
      </w:r>
    </w:p>
    <w:p>
      <w:pPr>
        <w:adjustRightInd w:val="0"/>
        <w:snapToGrid w:val="0"/>
        <w:ind w:firstLine="412"/>
        <w:rPr>
          <w:rFonts w:hint="eastAsia" w:ascii="楷体_GB2312" w:hAnsi="宋体" w:eastAsia="楷体_GB2312"/>
          <w:szCs w:val="21"/>
        </w:rPr>
      </w:pPr>
      <w:r>
        <w:rPr>
          <w:rFonts w:hint="eastAsia" w:ascii="楷体_GB2312" w:hAnsi="宋体" w:eastAsia="楷体_GB2312"/>
          <w:szCs w:val="21"/>
        </w:rPr>
        <w:t>第二节  进出口商品价格的构成和换算方法</w:t>
      </w:r>
    </w:p>
    <w:p>
      <w:pPr>
        <w:adjustRightInd w:val="0"/>
        <w:snapToGrid w:val="0"/>
        <w:ind w:firstLine="831" w:firstLineChars="396"/>
        <w:rPr>
          <w:rFonts w:hint="eastAsia" w:ascii="楷体_GB2312" w:hAnsi="宋体" w:eastAsia="楷体_GB2312" w:cs="宋体"/>
          <w:szCs w:val="21"/>
        </w:rPr>
      </w:pPr>
      <w:r>
        <w:rPr>
          <w:rFonts w:hint="eastAsia" w:ascii="楷体_GB2312" w:hAnsi="宋体" w:eastAsia="楷体_GB2312" w:cs="宋体"/>
          <w:szCs w:val="21"/>
        </w:rPr>
        <w:t>一、出口商品价格的构成</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二、主要贸易术语价格的构成及换算</w:t>
      </w:r>
    </w:p>
    <w:p>
      <w:pPr>
        <w:pStyle w:val="5"/>
        <w:adjustRightInd w:val="0"/>
        <w:snapToGrid w:val="0"/>
        <w:spacing w:before="0" w:beforeAutospacing="0" w:after="0" w:afterAutospacing="0"/>
        <w:ind w:firstLine="831" w:firstLineChars="396"/>
        <w:rPr>
          <w:rFonts w:hint="eastAsia" w:ascii="楷体_GB2312" w:eastAsia="楷体_GB2312"/>
          <w:sz w:val="21"/>
          <w:szCs w:val="21"/>
        </w:rPr>
      </w:pPr>
      <w:r>
        <w:rPr>
          <w:rFonts w:hint="eastAsia" w:ascii="楷体_GB2312" w:eastAsia="楷体_GB2312"/>
          <w:sz w:val="21"/>
          <w:szCs w:val="21"/>
        </w:rPr>
        <w:t>三、出口报价核算</w:t>
      </w:r>
    </w:p>
    <w:p>
      <w:pPr>
        <w:pStyle w:val="5"/>
        <w:adjustRightInd w:val="0"/>
        <w:snapToGrid w:val="0"/>
        <w:spacing w:before="0" w:beforeAutospacing="0" w:after="0" w:afterAutospacing="0"/>
        <w:ind w:firstLine="831" w:firstLineChars="396"/>
        <w:rPr>
          <w:rFonts w:hint="eastAsia" w:ascii="楷体_GB2312" w:eastAsia="楷体_GB2312"/>
          <w:sz w:val="21"/>
          <w:szCs w:val="21"/>
        </w:rPr>
      </w:pPr>
      <w:r>
        <w:rPr>
          <w:rFonts w:hint="eastAsia" w:ascii="楷体_GB2312" w:eastAsia="楷体_GB2312"/>
          <w:sz w:val="21"/>
          <w:szCs w:val="21"/>
        </w:rPr>
        <w:t>四、进口商品成本的构成</w:t>
      </w:r>
    </w:p>
    <w:p>
      <w:pPr>
        <w:pStyle w:val="14"/>
        <w:adjustRightInd w:val="0"/>
        <w:snapToGrid w:val="0"/>
        <w:ind w:firstLine="420" w:firstLineChars="200"/>
        <w:rPr>
          <w:rFonts w:hint="eastAsia" w:ascii="楷体_GB2312" w:hAnsi="宋体" w:eastAsia="楷体_GB2312"/>
          <w:sz w:val="21"/>
          <w:szCs w:val="21"/>
        </w:rPr>
      </w:pPr>
      <w:r>
        <w:rPr>
          <w:rFonts w:hint="eastAsia" w:ascii="楷体_GB2312" w:hAnsi="宋体" w:eastAsia="楷体_GB2312"/>
          <w:sz w:val="21"/>
          <w:szCs w:val="21"/>
        </w:rPr>
        <w:t>第三节  计价货币</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一、计价货币的选择</w:t>
      </w:r>
    </w:p>
    <w:p>
      <w:pPr>
        <w:pStyle w:val="14"/>
        <w:adjustRightInd w:val="0"/>
        <w:snapToGrid w:val="0"/>
        <w:ind w:firstLine="831" w:firstLineChars="396"/>
        <w:rPr>
          <w:rFonts w:hint="eastAsia" w:ascii="楷体_GB2312" w:hAnsi="宋体" w:eastAsia="楷体_GB2312"/>
          <w:sz w:val="21"/>
          <w:szCs w:val="21"/>
        </w:rPr>
      </w:pPr>
      <w:r>
        <w:rPr>
          <w:rFonts w:hint="eastAsia" w:ascii="楷体_GB2312" w:hAnsi="宋体" w:eastAsia="楷体_GB2312"/>
          <w:sz w:val="21"/>
          <w:szCs w:val="21"/>
        </w:rPr>
        <w:t>二、 货币风险的防范</w:t>
      </w:r>
    </w:p>
    <w:p>
      <w:pPr>
        <w:pStyle w:val="14"/>
        <w:adjustRightInd w:val="0"/>
        <w:snapToGrid w:val="0"/>
        <w:ind w:firstLine="420" w:firstLineChars="200"/>
        <w:rPr>
          <w:rFonts w:hint="eastAsia" w:ascii="楷体_GB2312" w:hAnsi="宋体" w:eastAsia="楷体_GB2312"/>
          <w:sz w:val="21"/>
          <w:szCs w:val="21"/>
        </w:rPr>
      </w:pPr>
      <w:r>
        <w:rPr>
          <w:rFonts w:hint="eastAsia" w:ascii="楷体_GB2312" w:hAnsi="宋体" w:eastAsia="楷体_GB2312"/>
          <w:sz w:val="21"/>
          <w:szCs w:val="21"/>
        </w:rPr>
        <w:t>第四节  佣金和折扣</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一、佣金</w:t>
      </w:r>
    </w:p>
    <w:p>
      <w:pPr>
        <w:pStyle w:val="14"/>
        <w:adjustRightInd w:val="0"/>
        <w:snapToGrid w:val="0"/>
        <w:ind w:firstLine="831" w:firstLineChars="396"/>
        <w:rPr>
          <w:rFonts w:hint="eastAsia" w:ascii="楷体_GB2312" w:hAnsi="宋体" w:eastAsia="楷体_GB2312"/>
          <w:sz w:val="21"/>
          <w:szCs w:val="21"/>
        </w:rPr>
      </w:pPr>
      <w:r>
        <w:rPr>
          <w:rFonts w:hint="eastAsia" w:ascii="楷体_GB2312" w:hAnsi="宋体" w:eastAsia="楷体_GB2312"/>
          <w:sz w:val="21"/>
          <w:szCs w:val="21"/>
        </w:rPr>
        <w:t>二、折扣</w:t>
      </w:r>
    </w:p>
    <w:p>
      <w:pPr>
        <w:adjustRightInd w:val="0"/>
        <w:snapToGrid w:val="0"/>
        <w:ind w:firstLine="420" w:firstLineChars="200"/>
        <w:rPr>
          <w:rFonts w:hint="eastAsia" w:ascii="楷体_GB2312" w:hAnsi="宋体" w:eastAsia="楷体_GB2312"/>
          <w:szCs w:val="21"/>
        </w:rPr>
      </w:pPr>
      <w:r>
        <w:rPr>
          <w:rFonts w:hint="eastAsia" w:ascii="楷体_GB2312" w:hAnsi="宋体" w:eastAsia="楷体_GB2312"/>
          <w:szCs w:val="21"/>
        </w:rPr>
        <w:t>第五节  进出口合同中的价格条款</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一、出口单价的构成</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二、价格条款的内容</w:t>
      </w:r>
    </w:p>
    <w:p>
      <w:pPr>
        <w:adjustRightInd w:val="0"/>
        <w:snapToGrid w:val="0"/>
        <w:ind w:firstLine="831" w:firstLineChars="396"/>
        <w:rPr>
          <w:rFonts w:hint="eastAsia" w:ascii="楷体_GB2312" w:hAnsi="宋体" w:eastAsia="楷体_GB2312"/>
          <w:szCs w:val="21"/>
        </w:rPr>
      </w:pPr>
      <w:r>
        <w:rPr>
          <w:rFonts w:hint="eastAsia" w:ascii="楷体_GB2312" w:hAnsi="宋体" w:eastAsia="楷体_GB2312"/>
          <w:szCs w:val="21"/>
        </w:rPr>
        <w:t>三、拟定价格条款的注意事项</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第十八章  国际货款的收付</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第一节  票据</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一、票据概述</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二、汇票</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三、本票</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四、支票 </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第二节  汇付</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一、汇付的含义及其当事人</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二、汇付的种类</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三、汇付方式的性质和在国际贸易中的使用 </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第三节  托收</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一、托收的含义及其当事人</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二、托收的种类及程序</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三、托收在国际贸易中的运用</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第四节  信用证</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一、信用证的含义及其特点</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二、信用证的当事人</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三、信用证的业务流程</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四、信用证的种类</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五、信用证在国际贸易中的应用</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六、合同中信用证支付条款</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第五节  银行保函</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 xml:space="preserve">一、银行保函的含义 </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二、银行保函的当事人</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三、银行保函的主要内容</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四、银行保函的种类</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第六节  国际保理</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一、国际保付代理的概念和内容</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二、国际保理业务的当事人及基本运作程序</w:t>
      </w:r>
    </w:p>
    <w:p>
      <w:pPr>
        <w:adjustRightInd w:val="0"/>
        <w:snapToGrid w:val="0"/>
        <w:ind w:firstLine="420"/>
        <w:rPr>
          <w:rFonts w:hint="eastAsia" w:ascii="楷体_GB2312" w:hAnsi="宋体" w:eastAsia="楷体_GB2312"/>
          <w:szCs w:val="21"/>
        </w:rPr>
      </w:pPr>
      <w:r>
        <w:rPr>
          <w:rFonts w:hint="eastAsia" w:ascii="楷体_GB2312" w:hAnsi="宋体" w:eastAsia="楷体_GB2312"/>
          <w:szCs w:val="21"/>
        </w:rPr>
        <w:t>第七节  各种支付方式的选用</w:t>
      </w:r>
    </w:p>
    <w:p>
      <w:pPr>
        <w:adjustRightInd w:val="0"/>
        <w:snapToGrid w:val="0"/>
        <w:ind w:firstLine="840" w:firstLineChars="400"/>
        <w:jc w:val="left"/>
        <w:rPr>
          <w:rFonts w:hint="eastAsia" w:ascii="楷体_GB2312" w:hAnsi="宋体" w:eastAsia="楷体_GB2312"/>
          <w:szCs w:val="21"/>
        </w:rPr>
      </w:pPr>
      <w:r>
        <w:rPr>
          <w:rFonts w:hint="eastAsia" w:ascii="楷体_GB2312" w:hAnsi="宋体" w:eastAsia="楷体_GB2312"/>
          <w:szCs w:val="21"/>
        </w:rPr>
        <w:t>一、信用证与汇付相结合</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二、信用证与托收相结合</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三、汇付、托收和信用证相结合</w:t>
      </w:r>
    </w:p>
    <w:p>
      <w:pPr>
        <w:autoSpaceDE w:val="0"/>
        <w:adjustRightInd w:val="0"/>
        <w:snapToGrid w:val="0"/>
        <w:ind w:right="31" w:rightChars="15"/>
        <w:rPr>
          <w:rFonts w:hint="eastAsia" w:ascii="楷体_GB2312" w:hAnsi="宋体" w:eastAsia="楷体_GB2312"/>
          <w:szCs w:val="21"/>
        </w:rPr>
      </w:pPr>
      <w:r>
        <w:rPr>
          <w:rFonts w:hint="eastAsia" w:ascii="楷体_GB2312" w:hAnsi="宋体" w:eastAsia="楷体_GB2312"/>
          <w:szCs w:val="21"/>
        </w:rPr>
        <w:t>第十九章  检验、索赔、不可抗力和仲裁</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第一节  商品检验</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一、商品检验的概念和内容</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二、商品检验机构</w:t>
      </w:r>
      <w:r>
        <w:rPr>
          <w:rFonts w:hint="eastAsia" w:ascii="楷体_GB2312" w:hAnsi="宋体" w:eastAsia="楷体_GB2312"/>
          <w:szCs w:val="21"/>
        </w:rPr>
        <w:tab/>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三、有关商品检验的主要问题</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四、检验证书</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五、合同中的商品检验条款</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第二节  索赔</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一、违约与索赔的概念</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二、对违约责任的法律规定</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三、合同中的索赔条款</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第三节  仲裁</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一、仲裁的含义及特点</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二、仲裁协议</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三、合同中的仲裁条款</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四、仲裁条款的三种基本格式</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五、仲裁裁决的承认和执行</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第四节  不可抗力</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一、不可抗力的含义</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二、不可抗力的认定和处理</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三、合同中的不可抗力条款</w:t>
      </w:r>
    </w:p>
    <w:p>
      <w:pPr>
        <w:autoSpaceDE w:val="0"/>
        <w:adjustRightInd w:val="0"/>
        <w:snapToGrid w:val="0"/>
        <w:ind w:right="31" w:rightChars="15"/>
        <w:rPr>
          <w:rFonts w:hint="eastAsia" w:ascii="楷体_GB2312" w:hAnsi="宋体" w:eastAsia="楷体_GB2312"/>
          <w:szCs w:val="21"/>
        </w:rPr>
      </w:pPr>
      <w:r>
        <w:rPr>
          <w:rFonts w:hint="eastAsia" w:ascii="楷体_GB2312" w:hAnsi="宋体" w:eastAsia="楷体_GB2312"/>
          <w:szCs w:val="21"/>
        </w:rPr>
        <w:t>第二十章  国际贸易买卖合同的商订</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第一节  进出口交易前的准备工作</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一、出口交易前的准备工作</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二、进口商品交易的准备</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第二节  交易磋商</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 xml:space="preserve">一、交易磋商的含义、方式和内容 </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二、交易磋商的程序</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第三节  合同的签订</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一、合同有效成立的条件</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二、书面合同的签订</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三、书面合同的基本内容</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四、合同的变更和终止</w:t>
      </w:r>
    </w:p>
    <w:p>
      <w:pPr>
        <w:autoSpaceDE w:val="0"/>
        <w:adjustRightInd w:val="0"/>
        <w:snapToGrid w:val="0"/>
        <w:ind w:right="31" w:rightChars="15"/>
        <w:rPr>
          <w:rFonts w:hint="eastAsia" w:ascii="楷体_GB2312" w:hAnsi="宋体" w:eastAsia="楷体_GB2312"/>
          <w:szCs w:val="21"/>
        </w:rPr>
      </w:pPr>
      <w:r>
        <w:rPr>
          <w:rFonts w:hint="eastAsia" w:ascii="楷体_GB2312" w:hAnsi="宋体" w:eastAsia="楷体_GB2312"/>
          <w:szCs w:val="21"/>
        </w:rPr>
        <w:t>第二十一章  进出口合同的履行</w:t>
      </w:r>
    </w:p>
    <w:p>
      <w:pPr>
        <w:autoSpaceDE w:val="0"/>
        <w:adjustRightInd w:val="0"/>
        <w:snapToGrid w:val="0"/>
        <w:ind w:right="31" w:rightChars="15" w:firstLine="403"/>
        <w:rPr>
          <w:rFonts w:hint="eastAsia" w:ascii="楷体_GB2312" w:hAnsi="宋体" w:eastAsia="楷体_GB2312"/>
          <w:szCs w:val="21"/>
        </w:rPr>
      </w:pPr>
      <w:r>
        <w:rPr>
          <w:rFonts w:hint="eastAsia" w:ascii="楷体_GB2312" w:hAnsi="宋体" w:eastAsia="楷体_GB2312"/>
          <w:szCs w:val="21"/>
        </w:rPr>
        <w:t>第一节  出口合同的履行</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一、备货、报验</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二、催证、审证和改证</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三、托运、报关和投保</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四、信用证项下制单结汇</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五、出口收汇核销和出口退税</w:t>
      </w:r>
    </w:p>
    <w:p>
      <w:pPr>
        <w:autoSpaceDE w:val="0"/>
        <w:adjustRightInd w:val="0"/>
        <w:snapToGrid w:val="0"/>
        <w:ind w:right="31" w:rightChars="15" w:firstLine="420"/>
        <w:rPr>
          <w:rFonts w:hint="eastAsia" w:ascii="楷体_GB2312" w:hAnsi="宋体" w:eastAsia="楷体_GB2312"/>
          <w:szCs w:val="21"/>
        </w:rPr>
      </w:pPr>
      <w:r>
        <w:rPr>
          <w:rFonts w:hint="eastAsia" w:ascii="楷体_GB2312" w:hAnsi="宋体" w:eastAsia="楷体_GB2312"/>
          <w:szCs w:val="21"/>
        </w:rPr>
        <w:t>第二节  进口合同的履行</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 xml:space="preserve">一、开立信用证 </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二、派船接运货物</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三、投保货运险</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四、审单和付汇</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五、报关、验收和拨交货物</w:t>
      </w:r>
    </w:p>
    <w:p>
      <w:pPr>
        <w:autoSpaceDE w:val="0"/>
        <w:adjustRightInd w:val="0"/>
        <w:snapToGrid w:val="0"/>
        <w:ind w:right="31" w:rightChars="15" w:firstLine="819" w:firstLineChars="390"/>
        <w:rPr>
          <w:rFonts w:hint="eastAsia" w:ascii="楷体_GB2312" w:hAnsi="宋体" w:eastAsia="楷体_GB2312"/>
          <w:szCs w:val="21"/>
        </w:rPr>
      </w:pPr>
      <w:r>
        <w:rPr>
          <w:rFonts w:hint="eastAsia" w:ascii="楷体_GB2312" w:hAnsi="宋体" w:eastAsia="楷体_GB2312"/>
          <w:szCs w:val="21"/>
        </w:rPr>
        <w:t>六、进口索赔</w:t>
      </w:r>
    </w:p>
    <w:p>
      <w:pPr>
        <w:ind w:firstLine="470" w:firstLineChars="147"/>
        <w:jc w:val="center"/>
        <w:rPr>
          <w:rFonts w:hint="eastAsia" w:ascii="黑体" w:eastAsia="黑体"/>
          <w:sz w:val="32"/>
          <w:szCs w:val="32"/>
        </w:rPr>
      </w:pPr>
      <w:r>
        <w:rPr>
          <w:rFonts w:hint="eastAsia" w:ascii="黑体" w:eastAsia="黑体"/>
          <w:sz w:val="32"/>
          <w:szCs w:val="32"/>
        </w:rPr>
        <w:t>四、参考书目</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1、《国际贸易学》，王秋红、陈开军、耿小娟主编，清华大学出版社，2019年12月第3版</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2、《国际贸易实务》，黎孝先、石玉川、王健主编，对外经济贸易大学出版社，2020年8月第7版</w:t>
      </w:r>
    </w:p>
    <w:p>
      <w:pPr>
        <w:ind w:firstLine="420" w:firstLineChars="200"/>
        <w:rPr>
          <w:rFonts w:hint="eastAsia" w:ascii="宋体" w:hAnsi="宋体"/>
          <w:sz w:val="24"/>
        </w:rPr>
      </w:pPr>
      <w:r>
        <w:rPr>
          <w:rFonts w:hint="eastAsia" w:ascii="仿宋_GB2312" w:hAnsi="宋体" w:eastAsia="仿宋_GB2312" w:cs="宋体"/>
          <w:color w:val="000000"/>
          <w:kern w:val="0"/>
          <w:szCs w:val="21"/>
        </w:rPr>
        <w:t>3、《国际贸易实务》，王秋红主编，清华大学出版社，2012年6月第1版</w:t>
      </w:r>
    </w:p>
    <w:p>
      <w:pPr>
        <w:autoSpaceDE w:val="0"/>
        <w:adjustRightInd w:val="0"/>
        <w:snapToGrid w:val="0"/>
        <w:ind w:right="31" w:rightChars="15" w:firstLine="819" w:firstLineChars="390"/>
        <w:rPr>
          <w:rFonts w:ascii="仿宋_GB2312" w:hAnsi="宋体" w:eastAsia="仿宋_GB2312" w:cs="宋体"/>
          <w:color w:val="000000"/>
          <w:kern w:val="0"/>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1" w:usb1="080E0000" w:usb2="00000010" w:usb3="00000000" w:csb0="00040000" w:csb1="00000000"/>
  </w:font>
  <w:font w:name="楷体_GB2312">
    <w:altName w:val="楷体"/>
    <w:panose1 w:val="00000000000000000000"/>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49"/>
    <w:rsid w:val="000170F6"/>
    <w:rsid w:val="00027113"/>
    <w:rsid w:val="00084149"/>
    <w:rsid w:val="00087128"/>
    <w:rsid w:val="000A22F1"/>
    <w:rsid w:val="000C3498"/>
    <w:rsid w:val="001450C1"/>
    <w:rsid w:val="0015526C"/>
    <w:rsid w:val="00177FD6"/>
    <w:rsid w:val="001B366D"/>
    <w:rsid w:val="00234DC2"/>
    <w:rsid w:val="00257E9A"/>
    <w:rsid w:val="002813D0"/>
    <w:rsid w:val="002875B9"/>
    <w:rsid w:val="0036041E"/>
    <w:rsid w:val="00362F7C"/>
    <w:rsid w:val="003860D1"/>
    <w:rsid w:val="00405F3D"/>
    <w:rsid w:val="00455F2A"/>
    <w:rsid w:val="00463E05"/>
    <w:rsid w:val="004D2477"/>
    <w:rsid w:val="004D6575"/>
    <w:rsid w:val="00504400"/>
    <w:rsid w:val="005A7BDC"/>
    <w:rsid w:val="00600952"/>
    <w:rsid w:val="00623AAE"/>
    <w:rsid w:val="00630C37"/>
    <w:rsid w:val="00643F89"/>
    <w:rsid w:val="006468E2"/>
    <w:rsid w:val="00684032"/>
    <w:rsid w:val="006A3291"/>
    <w:rsid w:val="006B6789"/>
    <w:rsid w:val="006E6494"/>
    <w:rsid w:val="00702062"/>
    <w:rsid w:val="00751672"/>
    <w:rsid w:val="00781C04"/>
    <w:rsid w:val="00785BDB"/>
    <w:rsid w:val="007A27EB"/>
    <w:rsid w:val="007C5376"/>
    <w:rsid w:val="008763FB"/>
    <w:rsid w:val="009077E6"/>
    <w:rsid w:val="0091781F"/>
    <w:rsid w:val="00943107"/>
    <w:rsid w:val="009A000C"/>
    <w:rsid w:val="00A009FF"/>
    <w:rsid w:val="00A50802"/>
    <w:rsid w:val="00A7058F"/>
    <w:rsid w:val="00AB6AAC"/>
    <w:rsid w:val="00B60618"/>
    <w:rsid w:val="00B64765"/>
    <w:rsid w:val="00B97453"/>
    <w:rsid w:val="00BB76AE"/>
    <w:rsid w:val="00BC7968"/>
    <w:rsid w:val="00C20450"/>
    <w:rsid w:val="00CE6E0B"/>
    <w:rsid w:val="00DF74E5"/>
    <w:rsid w:val="00E73C57"/>
    <w:rsid w:val="00EC7FCA"/>
    <w:rsid w:val="00F36F88"/>
    <w:rsid w:val="00FF388E"/>
    <w:rsid w:val="22AD5096"/>
    <w:rsid w:val="6126336E"/>
    <w:rsid w:val="7A5728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3">
    <w:name w:val="heading 4"/>
    <w:basedOn w:val="1"/>
    <w:qFormat/>
    <w:uiPriority w:val="0"/>
    <w:pPr>
      <w:widowControl/>
      <w:spacing w:before="100" w:beforeAutospacing="1" w:after="100" w:afterAutospacing="1"/>
      <w:jc w:val="left"/>
      <w:outlineLvl w:val="3"/>
    </w:pPr>
    <w:rPr>
      <w:rFonts w:ascii="Arial Unicode MS" w:hAnsi="Arial Unicode MS" w:eastAsia="Arial Unicode MS" w:cs="Arial Unicode MS"/>
      <w:b/>
      <w:bCs/>
      <w:kern w:val="0"/>
      <w:sz w:val="24"/>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Body Text Indent"/>
    <w:basedOn w:val="1"/>
    <w:uiPriority w:val="0"/>
    <w:pPr>
      <w:spacing w:line="360" w:lineRule="atLeast"/>
      <w:ind w:firstLine="435"/>
    </w:pPr>
  </w:style>
  <w:style w:type="paragraph" w:styleId="5">
    <w:name w:val="Plain Text"/>
    <w:basedOn w:val="1"/>
    <w:uiPriority w:val="0"/>
    <w:pPr>
      <w:widowControl/>
      <w:spacing w:before="100" w:beforeAutospacing="1" w:after="100" w:afterAutospacing="1"/>
      <w:jc w:val="left"/>
    </w:pPr>
    <w:rPr>
      <w:rFonts w:ascii="宋体" w:hAnsi="宋体" w:cs="宋体"/>
      <w:kern w:val="0"/>
      <w:sz w:val="24"/>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paragraph" w:customStyle="1" w:styleId="12">
    <w:name w:val="page_body"/>
    <w:basedOn w:val="1"/>
    <w:uiPriority w:val="0"/>
    <w:pPr>
      <w:widowControl/>
      <w:spacing w:before="100" w:beforeAutospacing="1" w:after="100" w:afterAutospacing="1" w:line="280" w:lineRule="atLeast"/>
      <w:jc w:val="left"/>
    </w:pPr>
    <w:rPr>
      <w:rFonts w:ascii="ˎ̥" w:hAnsi="ˎ̥" w:cs="宋体"/>
      <w:color w:val="000000"/>
      <w:kern w:val="0"/>
      <w:sz w:val="18"/>
      <w:szCs w:val="18"/>
    </w:rPr>
  </w:style>
  <w:style w:type="paragraph" w:customStyle="1" w:styleId="13">
    <w:name w:val="style3"/>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14">
    <w:name w:val="MTDisplayEquation"/>
    <w:basedOn w:val="1"/>
    <w:next w:val="1"/>
    <w:uiPriority w:val="0"/>
    <w:pPr>
      <w:tabs>
        <w:tab w:val="center" w:pos="4160"/>
        <w:tab w:val="right" w:pos="8300"/>
      </w:tabs>
    </w:pPr>
    <w:rPr>
      <w:sz w:val="28"/>
    </w:rPr>
  </w:style>
  <w:style w:type="paragraph" w:customStyle="1" w:styleId="15">
    <w:name w:val=" Char"/>
    <w:basedOn w:val="1"/>
    <w:uiPriority w:val="0"/>
    <w:rPr>
      <w:rFonts w:ascii="Tahoma" w:hAnsi="Tahoma"/>
      <w:sz w:val="24"/>
      <w:szCs w:val="20"/>
    </w:rPr>
  </w:style>
  <w:style w:type="character" w:customStyle="1" w:styleId="16">
    <w:name w:val="page_body1"/>
    <w:uiPriority w:val="0"/>
    <w:rPr>
      <w:rFonts w:hint="default" w:ascii="_x000B__x000C_" w:hAnsi="_x000B__x000C_"/>
      <w:color w:val="000000"/>
      <w:sz w:val="18"/>
      <w:szCs w:val="18"/>
    </w:rPr>
  </w:style>
  <w:style w:type="character" w:customStyle="1" w:styleId="17">
    <w:name w:val="style21"/>
    <w:uiPriority w:val="0"/>
    <w:rPr>
      <w:sz w:val="14"/>
      <w:szCs w:val="14"/>
    </w:rPr>
  </w:style>
  <w:style w:type="character" w:customStyle="1" w:styleId="18">
    <w:name w:val="navi1"/>
    <w:uiPriority w:val="0"/>
    <w:rPr>
      <w:rFonts w:hint="default" w:ascii="ˎ̥" w:hAnsi="ˎ̥"/>
      <w:sz w:val="18"/>
      <w:szCs w:val="18"/>
      <w:u w:val="none"/>
    </w:rPr>
  </w:style>
  <w:style w:type="character" w:customStyle="1" w:styleId="19">
    <w:name w:val="11"/>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934</Words>
  <Characters>5327</Characters>
  <Lines>44</Lines>
  <Paragraphs>12</Paragraphs>
  <TotalTime>0</TotalTime>
  <ScaleCrop>false</ScaleCrop>
  <LinksUpToDate>false</LinksUpToDate>
  <CharactersWithSpaces>6249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2011-06-12T06:48:00Z</dcterms:created>
  <dc:creator>wangqh</dc:creator>
  <cp:lastModifiedBy>Administrator</cp:lastModifiedBy>
  <cp:lastPrinted>2013-07-15T02:17:00Z</cp:lastPrinted>
  <dcterms:modified xsi:type="dcterms:W3CDTF">2021-08-30T12:05:36Z</dcterms:modified>
  <dc:title>《国际贸易》科目大纲</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CE3AEFB0F3784DFF94D4402101C06B0D</vt:lpwstr>
  </property>
</Properties>
</file>