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 xml:space="preserve">                               </w:t>
      </w:r>
    </w:p>
    <w:p/>
    <w:p/>
    <w:p/>
    <w:p/>
    <w:p/>
    <w:p/>
    <w:p/>
    <w:p/>
    <w:p/>
    <w:p>
      <w:pPr>
        <w:widowControl/>
        <w:jc w:val="center"/>
        <w:rPr>
          <w:rFonts w:ascii="宋体" w:hAnsi="宋体"/>
          <w:sz w:val="24"/>
        </w:rPr>
      </w:pPr>
      <w:r>
        <w:rPr>
          <w:lang/>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ascii="黑体" w:hAnsi="华文中宋" w:eastAsia="黑体"/>
          <w:b/>
          <w:sz w:val="52"/>
          <w:szCs w:val="52"/>
        </w:rPr>
      </w:pPr>
      <w:r>
        <w:rPr>
          <w:rFonts w:hint="eastAsia" w:ascii="黑体" w:hAnsi="华文中宋" w:eastAsia="黑体"/>
          <w:b/>
          <w:sz w:val="52"/>
          <w:szCs w:val="52"/>
        </w:rPr>
        <w:t>《马克思主义哲学》科目大纲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(科目代码：611)</w:t>
      </w:r>
    </w:p>
    <w:p/>
    <w:p/>
    <w:p/>
    <w:p/>
    <w:p/>
    <w:p/>
    <w:p/>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哲学学院</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姜宗强</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2021</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pStyle w:val="7"/>
        <w:rPr>
          <w:rFonts w:ascii="黑体" w:eastAsia="黑体"/>
          <w:b/>
          <w:bCs/>
          <w:sz w:val="30"/>
          <w:szCs w:val="30"/>
        </w:rPr>
      </w:pPr>
    </w:p>
    <w:p>
      <w:pPr>
        <w:pStyle w:val="7"/>
        <w:jc w:val="center"/>
        <w:rPr>
          <w:rFonts w:hint="eastAsia" w:ascii="黑体" w:eastAsia="黑体"/>
          <w:b/>
          <w:bCs/>
          <w:sz w:val="30"/>
          <w:szCs w:val="30"/>
        </w:rPr>
      </w:pPr>
    </w:p>
    <w:p>
      <w:pPr>
        <w:pStyle w:val="7"/>
        <w:jc w:val="center"/>
        <w:rPr>
          <w:rFonts w:ascii="黑体" w:eastAsia="黑体"/>
          <w:b/>
          <w:bCs/>
          <w:sz w:val="30"/>
          <w:szCs w:val="30"/>
        </w:rPr>
      </w:pPr>
      <w:r>
        <w:rPr>
          <w:rFonts w:hint="eastAsia" w:ascii="黑体" w:eastAsia="黑体"/>
          <w:b/>
          <w:bCs/>
          <w:sz w:val="30"/>
          <w:szCs w:val="30"/>
        </w:rPr>
        <w:t>《马克思主义哲学》科目大纲</w:t>
      </w:r>
    </w:p>
    <w:p>
      <w:pPr>
        <w:pStyle w:val="7"/>
        <w:jc w:val="center"/>
        <w:rPr>
          <w:rFonts w:ascii="黑体" w:eastAsia="黑体"/>
          <w:sz w:val="24"/>
          <w:szCs w:val="24"/>
        </w:rPr>
      </w:pPr>
      <w:r>
        <w:rPr>
          <w:rFonts w:hint="eastAsia" w:ascii="黑体" w:eastAsia="黑体"/>
          <w:b/>
          <w:bCs/>
          <w:sz w:val="48"/>
          <w:szCs w:val="48"/>
        </w:rPr>
        <w:t xml:space="preserve"> </w:t>
      </w:r>
      <w:r>
        <w:rPr>
          <w:rFonts w:hint="eastAsia" w:ascii="黑体" w:eastAsia="黑体"/>
          <w:sz w:val="24"/>
          <w:szCs w:val="24"/>
        </w:rPr>
        <w:t>(科目代码：611)</w:t>
      </w:r>
    </w:p>
    <w:p>
      <w:pPr>
        <w:pStyle w:val="7"/>
        <w:spacing w:line="520" w:lineRule="atLeast"/>
        <w:jc w:val="center"/>
        <w:rPr>
          <w:rFonts w:ascii="楷体_GB2312" w:eastAsia="楷体_GB2312"/>
          <w:b/>
          <w:bCs/>
          <w:sz w:val="28"/>
          <w:szCs w:val="28"/>
        </w:rPr>
      </w:pPr>
      <w:r>
        <w:rPr>
          <w:rFonts w:hint="eastAsia" w:ascii="楷体_GB2312" w:eastAsia="楷体_GB2312"/>
          <w:b/>
          <w:bCs/>
          <w:sz w:val="28"/>
          <w:szCs w:val="28"/>
        </w:rPr>
        <w:t>一、考核要求</w:t>
      </w:r>
    </w:p>
    <w:p>
      <w:pPr>
        <w:pStyle w:val="7"/>
        <w:spacing w:line="520" w:lineRule="atLeast"/>
        <w:ind w:firstLine="420"/>
        <w:jc w:val="left"/>
        <w:rPr>
          <w:rFonts w:ascii="楷体_GB2312" w:eastAsia="楷体_GB2312"/>
        </w:rPr>
      </w:pPr>
      <w:r>
        <w:rPr>
          <w:rFonts w:hint="eastAsia" w:ascii="楷体_GB2312" w:eastAsia="楷体_GB2312"/>
        </w:rPr>
        <w:t>《马克思主义哲学》是哲学专业学术型硕士学位研究生入学考试的科目。考试力求反映考生是否能够熟练地把握和运用马克思主义哲学的基本观点、立场和方法，对现实问题能够作出深刻分析，通过考试方式来选拔具有培养前途和发展潜力的优秀人才，从而为国家培养从事哲学领域教学、科研以及相关工作的高级专业人才。</w:t>
      </w:r>
    </w:p>
    <w:p>
      <w:pPr>
        <w:pStyle w:val="7"/>
        <w:spacing w:line="520" w:lineRule="atLeast"/>
        <w:jc w:val="center"/>
        <w:rPr>
          <w:rFonts w:ascii="楷体_GB2312" w:eastAsia="楷体_GB2312"/>
          <w:b/>
          <w:bCs/>
          <w:sz w:val="28"/>
          <w:szCs w:val="28"/>
        </w:rPr>
      </w:pPr>
      <w:r>
        <w:rPr>
          <w:rFonts w:hint="eastAsia" w:ascii="楷体_GB2312" w:eastAsia="楷体_GB2312"/>
          <w:b/>
          <w:bCs/>
          <w:sz w:val="28"/>
          <w:szCs w:val="28"/>
        </w:rPr>
        <w:t>二、考核评价目标</w:t>
      </w:r>
    </w:p>
    <w:p>
      <w:pPr>
        <w:pStyle w:val="7"/>
        <w:spacing w:before="100" w:after="100" w:line="360" w:lineRule="auto"/>
        <w:ind w:firstLine="420"/>
        <w:jc w:val="left"/>
        <w:rPr>
          <w:rFonts w:ascii="楷体_GB2312" w:eastAsia="楷体_GB2312"/>
          <w:color w:val="222222"/>
        </w:rPr>
      </w:pPr>
      <w:r>
        <w:rPr>
          <w:rFonts w:hint="eastAsia" w:ascii="楷体_GB2312" w:eastAsia="楷体_GB2312"/>
          <w:color w:val="222222"/>
        </w:rPr>
        <w:t>要求考生树立科学的世界观、价值观和人生观，能够系统了解和掌握马克思主义哲学的基础知识、基本概念、基本理论和基本方法，能够运用马克思主义哲学的基本理论和方法来分析和解决现实问题的较强能力。</w:t>
      </w:r>
    </w:p>
    <w:p>
      <w:pPr>
        <w:pStyle w:val="7"/>
        <w:spacing w:line="520" w:lineRule="atLeast"/>
        <w:ind w:firstLine="562"/>
        <w:jc w:val="center"/>
        <w:rPr>
          <w:rFonts w:ascii="楷体_GB2312" w:eastAsia="楷体_GB2312"/>
          <w:bCs/>
          <w:sz w:val="28"/>
          <w:szCs w:val="28"/>
        </w:rPr>
      </w:pPr>
      <w:r>
        <w:rPr>
          <w:rFonts w:hint="eastAsia" w:ascii="楷体_GB2312" w:eastAsia="楷体_GB2312"/>
          <w:bCs/>
          <w:sz w:val="28"/>
          <w:szCs w:val="28"/>
        </w:rPr>
        <w:t>三、考核内容</w:t>
      </w:r>
    </w:p>
    <w:p>
      <w:pPr>
        <w:rPr>
          <w:rFonts w:ascii="楷体_GB2312" w:eastAsia="楷体_GB2312"/>
          <w:b/>
        </w:rPr>
      </w:pPr>
      <w:r>
        <w:rPr>
          <w:rFonts w:hint="eastAsia" w:ascii="楷体_GB2312" w:eastAsia="楷体_GB2312"/>
          <w:b/>
        </w:rPr>
        <w:t>导论</w:t>
      </w:r>
    </w:p>
    <w:p>
      <w:pPr>
        <w:pStyle w:val="8"/>
        <w:numPr>
          <w:ilvl w:val="0"/>
          <w:numId w:val="1"/>
        </w:numPr>
        <w:ind w:firstLineChars="0"/>
        <w:rPr>
          <w:rFonts w:ascii="楷体_GB2312" w:eastAsia="楷体_GB2312"/>
        </w:rPr>
      </w:pPr>
      <w:r>
        <w:rPr>
          <w:rFonts w:hint="eastAsia" w:ascii="楷体_GB2312" w:eastAsia="楷体_GB2312"/>
        </w:rPr>
        <w:t>哲学和哲学的基本问题</w:t>
      </w:r>
    </w:p>
    <w:p>
      <w:pPr>
        <w:pStyle w:val="8"/>
        <w:numPr>
          <w:ilvl w:val="0"/>
          <w:numId w:val="1"/>
        </w:numPr>
        <w:ind w:firstLineChars="0"/>
        <w:rPr>
          <w:rFonts w:ascii="楷体_GB2312" w:eastAsia="楷体_GB2312"/>
        </w:rPr>
      </w:pPr>
      <w:r>
        <w:rPr>
          <w:rFonts w:hint="eastAsia" w:ascii="楷体_GB2312" w:eastAsia="楷体_GB2312"/>
        </w:rPr>
        <w:t>马克思主义哲学的产生和基本特征</w:t>
      </w:r>
    </w:p>
    <w:p>
      <w:pPr>
        <w:pStyle w:val="8"/>
        <w:numPr>
          <w:ilvl w:val="0"/>
          <w:numId w:val="1"/>
        </w:numPr>
        <w:ind w:firstLineChars="0"/>
        <w:rPr>
          <w:rFonts w:ascii="楷体_GB2312" w:eastAsia="楷体_GB2312"/>
        </w:rPr>
      </w:pPr>
      <w:r>
        <w:rPr>
          <w:rFonts w:hint="eastAsia" w:ascii="楷体_GB2312" w:eastAsia="楷体_GB2312"/>
        </w:rPr>
        <w:t>学习马克思主义哲学的意义和方法</w:t>
      </w:r>
    </w:p>
    <w:p>
      <w:pPr>
        <w:pStyle w:val="8"/>
        <w:numPr>
          <w:ilvl w:val="0"/>
          <w:numId w:val="2"/>
        </w:numPr>
        <w:ind w:firstLineChars="0"/>
        <w:rPr>
          <w:rFonts w:ascii="楷体_GB2312" w:eastAsia="楷体_GB2312"/>
          <w:b/>
        </w:rPr>
      </w:pPr>
      <w:r>
        <w:rPr>
          <w:rFonts w:hint="eastAsia" w:ascii="楷体_GB2312" w:eastAsia="楷体_GB2312"/>
          <w:b/>
        </w:rPr>
        <w:t>物质与世界</w:t>
      </w:r>
    </w:p>
    <w:p>
      <w:pPr>
        <w:pStyle w:val="8"/>
        <w:numPr>
          <w:ilvl w:val="0"/>
          <w:numId w:val="3"/>
        </w:numPr>
        <w:ind w:firstLineChars="0"/>
        <w:rPr>
          <w:rFonts w:ascii="楷体_GB2312" w:eastAsia="楷体_GB2312"/>
        </w:rPr>
      </w:pPr>
      <w:r>
        <w:rPr>
          <w:rFonts w:hint="eastAsia" w:ascii="楷体_GB2312" w:eastAsia="楷体_GB2312"/>
        </w:rPr>
        <w:t>物质及其存在形式</w:t>
      </w:r>
    </w:p>
    <w:p>
      <w:pPr>
        <w:pStyle w:val="8"/>
        <w:numPr>
          <w:ilvl w:val="0"/>
          <w:numId w:val="3"/>
        </w:numPr>
        <w:ind w:firstLineChars="0"/>
        <w:rPr>
          <w:rFonts w:ascii="楷体_GB2312" w:eastAsia="楷体_GB2312"/>
        </w:rPr>
      </w:pPr>
      <w:r>
        <w:rPr>
          <w:rFonts w:hint="eastAsia" w:ascii="楷体_GB2312" w:eastAsia="楷体_GB2312"/>
        </w:rPr>
        <w:t>从自然界到人类社会</w:t>
      </w:r>
    </w:p>
    <w:p>
      <w:pPr>
        <w:pStyle w:val="8"/>
        <w:numPr>
          <w:ilvl w:val="0"/>
          <w:numId w:val="3"/>
        </w:numPr>
        <w:ind w:firstLineChars="0"/>
        <w:rPr>
          <w:rFonts w:ascii="楷体_GB2312" w:eastAsia="楷体_GB2312"/>
        </w:rPr>
      </w:pPr>
      <w:r>
        <w:rPr>
          <w:rFonts w:hint="eastAsia" w:ascii="楷体_GB2312" w:eastAsia="楷体_GB2312"/>
        </w:rPr>
        <w:t>从物质到意识</w:t>
      </w:r>
    </w:p>
    <w:p>
      <w:pPr>
        <w:pStyle w:val="8"/>
        <w:numPr>
          <w:ilvl w:val="0"/>
          <w:numId w:val="3"/>
        </w:numPr>
        <w:ind w:firstLineChars="0"/>
        <w:rPr>
          <w:rFonts w:ascii="楷体_GB2312" w:eastAsia="楷体_GB2312"/>
        </w:rPr>
      </w:pPr>
      <w:r>
        <w:rPr>
          <w:rFonts w:hint="eastAsia" w:ascii="楷体_GB2312" w:eastAsia="楷体_GB2312"/>
        </w:rPr>
        <w:t>世界的物质统一性</w:t>
      </w:r>
    </w:p>
    <w:p>
      <w:pPr>
        <w:pStyle w:val="8"/>
        <w:numPr>
          <w:ilvl w:val="0"/>
          <w:numId w:val="2"/>
        </w:numPr>
        <w:ind w:firstLineChars="0"/>
        <w:rPr>
          <w:rFonts w:ascii="楷体_GB2312" w:eastAsia="楷体_GB2312"/>
          <w:b/>
        </w:rPr>
      </w:pPr>
      <w:r>
        <w:rPr>
          <w:rFonts w:hint="eastAsia" w:ascii="楷体_GB2312" w:eastAsia="楷体_GB2312"/>
          <w:b/>
        </w:rPr>
        <w:t>实践与世界</w:t>
      </w:r>
    </w:p>
    <w:p>
      <w:pPr>
        <w:pStyle w:val="8"/>
        <w:numPr>
          <w:ilvl w:val="0"/>
          <w:numId w:val="4"/>
        </w:numPr>
        <w:ind w:firstLineChars="0"/>
        <w:rPr>
          <w:rFonts w:ascii="楷体_GB2312" w:eastAsia="楷体_GB2312"/>
        </w:rPr>
      </w:pPr>
      <w:r>
        <w:rPr>
          <w:rFonts w:hint="eastAsia" w:ascii="楷体_GB2312" w:eastAsia="楷体_GB2312"/>
        </w:rPr>
        <w:t>实践的本质和结构</w:t>
      </w:r>
    </w:p>
    <w:p>
      <w:pPr>
        <w:pStyle w:val="8"/>
        <w:numPr>
          <w:ilvl w:val="0"/>
          <w:numId w:val="4"/>
        </w:numPr>
        <w:ind w:firstLineChars="0"/>
        <w:rPr>
          <w:rFonts w:ascii="楷体_GB2312" w:eastAsia="楷体_GB2312"/>
        </w:rPr>
      </w:pPr>
      <w:r>
        <w:rPr>
          <w:rFonts w:hint="eastAsia" w:ascii="楷体_GB2312" w:eastAsia="楷体_GB2312"/>
        </w:rPr>
        <w:t>实践的主体和客体及其相互作用</w:t>
      </w:r>
    </w:p>
    <w:p>
      <w:pPr>
        <w:pStyle w:val="8"/>
        <w:numPr>
          <w:ilvl w:val="0"/>
          <w:numId w:val="4"/>
        </w:numPr>
        <w:ind w:firstLineChars="0"/>
        <w:rPr>
          <w:rFonts w:ascii="楷体_GB2312" w:eastAsia="楷体_GB2312"/>
        </w:rPr>
      </w:pPr>
      <w:r>
        <w:rPr>
          <w:rFonts w:hint="eastAsia" w:ascii="楷体_GB2312" w:eastAsia="楷体_GB2312"/>
        </w:rPr>
        <w:t>实践与世界的二重化</w:t>
      </w:r>
    </w:p>
    <w:p>
      <w:pPr>
        <w:pStyle w:val="8"/>
        <w:numPr>
          <w:ilvl w:val="0"/>
          <w:numId w:val="2"/>
        </w:numPr>
        <w:ind w:firstLineChars="0"/>
        <w:rPr>
          <w:rFonts w:ascii="楷体_GB2312" w:eastAsia="楷体_GB2312"/>
          <w:b/>
        </w:rPr>
      </w:pPr>
      <w:r>
        <w:rPr>
          <w:rFonts w:hint="eastAsia" w:ascii="楷体_GB2312" w:eastAsia="楷体_GB2312"/>
          <w:b/>
        </w:rPr>
        <w:t>社会及其基本结构</w:t>
      </w:r>
    </w:p>
    <w:p>
      <w:pPr>
        <w:pStyle w:val="8"/>
        <w:numPr>
          <w:ilvl w:val="0"/>
          <w:numId w:val="5"/>
        </w:numPr>
        <w:ind w:firstLineChars="0"/>
        <w:rPr>
          <w:rFonts w:ascii="楷体_GB2312" w:eastAsia="楷体_GB2312"/>
        </w:rPr>
      </w:pPr>
      <w:r>
        <w:rPr>
          <w:rFonts w:hint="eastAsia" w:ascii="楷体_GB2312" w:eastAsia="楷体_GB2312"/>
        </w:rPr>
        <w:t>社会的本质和整体性</w:t>
      </w:r>
    </w:p>
    <w:p>
      <w:pPr>
        <w:pStyle w:val="8"/>
        <w:numPr>
          <w:ilvl w:val="0"/>
          <w:numId w:val="5"/>
        </w:numPr>
        <w:ind w:firstLineChars="0"/>
        <w:rPr>
          <w:rFonts w:ascii="楷体_GB2312" w:eastAsia="楷体_GB2312"/>
        </w:rPr>
      </w:pPr>
      <w:r>
        <w:rPr>
          <w:rFonts w:hint="eastAsia" w:ascii="楷体_GB2312" w:eastAsia="楷体_GB2312"/>
        </w:rPr>
        <w:t>社会的经济结构</w:t>
      </w:r>
    </w:p>
    <w:p>
      <w:pPr>
        <w:pStyle w:val="8"/>
        <w:numPr>
          <w:ilvl w:val="0"/>
          <w:numId w:val="5"/>
        </w:numPr>
        <w:ind w:firstLineChars="0"/>
        <w:rPr>
          <w:rFonts w:ascii="楷体_GB2312" w:eastAsia="楷体_GB2312"/>
        </w:rPr>
      </w:pPr>
      <w:r>
        <w:rPr>
          <w:rFonts w:hint="eastAsia" w:ascii="楷体_GB2312" w:eastAsia="楷体_GB2312"/>
        </w:rPr>
        <w:t>社会的政治结构</w:t>
      </w:r>
    </w:p>
    <w:p>
      <w:pPr>
        <w:pStyle w:val="8"/>
        <w:numPr>
          <w:ilvl w:val="0"/>
          <w:numId w:val="5"/>
        </w:numPr>
        <w:ind w:firstLineChars="0"/>
        <w:rPr>
          <w:rFonts w:ascii="楷体_GB2312" w:eastAsia="楷体_GB2312"/>
        </w:rPr>
      </w:pPr>
      <w:r>
        <w:rPr>
          <w:rFonts w:hint="eastAsia" w:ascii="楷体_GB2312" w:eastAsia="楷体_GB2312"/>
        </w:rPr>
        <w:t>社会的文化结构</w:t>
      </w:r>
    </w:p>
    <w:p>
      <w:pPr>
        <w:pStyle w:val="8"/>
        <w:numPr>
          <w:ilvl w:val="0"/>
          <w:numId w:val="2"/>
        </w:numPr>
        <w:ind w:firstLineChars="0"/>
        <w:rPr>
          <w:rFonts w:ascii="楷体_GB2312" w:eastAsia="楷体_GB2312"/>
          <w:b/>
        </w:rPr>
      </w:pPr>
      <w:r>
        <w:rPr>
          <w:rFonts w:hint="eastAsia" w:ascii="楷体_GB2312" w:eastAsia="楷体_GB2312"/>
          <w:b/>
        </w:rPr>
        <w:t>个人与社会</w:t>
      </w:r>
    </w:p>
    <w:p>
      <w:pPr>
        <w:pStyle w:val="8"/>
        <w:numPr>
          <w:ilvl w:val="0"/>
          <w:numId w:val="6"/>
        </w:numPr>
        <w:ind w:firstLineChars="0"/>
        <w:rPr>
          <w:rFonts w:ascii="楷体_GB2312" w:eastAsia="楷体_GB2312"/>
        </w:rPr>
      </w:pPr>
      <w:r>
        <w:rPr>
          <w:rFonts w:hint="eastAsia" w:ascii="楷体_GB2312" w:eastAsia="楷体_GB2312"/>
        </w:rPr>
        <w:t>人的个体存在和社会存在</w:t>
      </w:r>
    </w:p>
    <w:p>
      <w:pPr>
        <w:pStyle w:val="8"/>
        <w:numPr>
          <w:ilvl w:val="0"/>
          <w:numId w:val="6"/>
        </w:numPr>
        <w:ind w:firstLineChars="0"/>
        <w:rPr>
          <w:rFonts w:ascii="楷体_GB2312" w:eastAsia="楷体_GB2312"/>
        </w:rPr>
      </w:pPr>
      <w:r>
        <w:rPr>
          <w:rFonts w:hint="eastAsia" w:ascii="楷体_GB2312" w:eastAsia="楷体_GB2312"/>
        </w:rPr>
        <w:t>人的社会价值和个人价值</w:t>
      </w:r>
    </w:p>
    <w:p>
      <w:pPr>
        <w:pStyle w:val="8"/>
        <w:numPr>
          <w:ilvl w:val="0"/>
          <w:numId w:val="6"/>
        </w:numPr>
        <w:ind w:firstLineChars="0"/>
        <w:rPr>
          <w:rFonts w:ascii="楷体_GB2312" w:eastAsia="楷体_GB2312"/>
        </w:rPr>
      </w:pPr>
      <w:r>
        <w:rPr>
          <w:rFonts w:hint="eastAsia" w:ascii="楷体_GB2312" w:eastAsia="楷体_GB2312"/>
        </w:rPr>
        <w:t>社会创造和人创造社会</w:t>
      </w:r>
    </w:p>
    <w:p>
      <w:pPr>
        <w:pStyle w:val="8"/>
        <w:numPr>
          <w:ilvl w:val="0"/>
          <w:numId w:val="2"/>
        </w:numPr>
        <w:ind w:firstLineChars="0"/>
        <w:rPr>
          <w:rFonts w:ascii="楷体_GB2312" w:eastAsia="楷体_GB2312"/>
          <w:b/>
        </w:rPr>
      </w:pPr>
      <w:r>
        <w:rPr>
          <w:rFonts w:hint="eastAsia" w:ascii="楷体_GB2312" w:eastAsia="楷体_GB2312"/>
          <w:b/>
        </w:rPr>
        <w:t>联系与发展</w:t>
      </w:r>
    </w:p>
    <w:p>
      <w:pPr>
        <w:pStyle w:val="8"/>
        <w:numPr>
          <w:ilvl w:val="0"/>
          <w:numId w:val="7"/>
        </w:numPr>
        <w:ind w:firstLineChars="0"/>
        <w:rPr>
          <w:rFonts w:ascii="楷体_GB2312" w:eastAsia="楷体_GB2312"/>
        </w:rPr>
      </w:pPr>
      <w:r>
        <w:rPr>
          <w:rFonts w:hint="eastAsia" w:ascii="楷体_GB2312" w:eastAsia="楷体_GB2312"/>
        </w:rPr>
        <w:t>联系的普遍性和发展的方向</w:t>
      </w:r>
    </w:p>
    <w:p>
      <w:pPr>
        <w:pStyle w:val="8"/>
        <w:numPr>
          <w:ilvl w:val="0"/>
          <w:numId w:val="7"/>
        </w:numPr>
        <w:ind w:firstLineChars="0"/>
        <w:rPr>
          <w:rFonts w:ascii="楷体_GB2312" w:eastAsia="楷体_GB2312"/>
        </w:rPr>
      </w:pPr>
      <w:r>
        <w:rPr>
          <w:rFonts w:hint="eastAsia" w:ascii="楷体_GB2312" w:eastAsia="楷体_GB2312"/>
        </w:rPr>
        <w:t>联系和发展的规律性</w:t>
      </w:r>
    </w:p>
    <w:p>
      <w:pPr>
        <w:pStyle w:val="8"/>
        <w:numPr>
          <w:ilvl w:val="0"/>
          <w:numId w:val="2"/>
        </w:numPr>
        <w:ind w:firstLineChars="0"/>
        <w:rPr>
          <w:rFonts w:ascii="楷体_GB2312" w:eastAsia="楷体_GB2312"/>
          <w:b/>
        </w:rPr>
      </w:pPr>
      <w:r>
        <w:rPr>
          <w:rFonts w:hint="eastAsia" w:ascii="楷体_GB2312" w:eastAsia="楷体_GB2312"/>
          <w:b/>
        </w:rPr>
        <w:t>发展的基本规律</w:t>
      </w:r>
    </w:p>
    <w:p>
      <w:pPr>
        <w:pStyle w:val="8"/>
        <w:numPr>
          <w:ilvl w:val="0"/>
          <w:numId w:val="8"/>
        </w:numPr>
        <w:ind w:firstLineChars="0"/>
        <w:rPr>
          <w:rFonts w:ascii="楷体_GB2312" w:eastAsia="楷体_GB2312"/>
        </w:rPr>
      </w:pPr>
      <w:r>
        <w:rPr>
          <w:rFonts w:hint="eastAsia" w:ascii="楷体_GB2312" w:eastAsia="楷体_GB2312"/>
        </w:rPr>
        <w:t>质量互变规律</w:t>
      </w:r>
    </w:p>
    <w:p>
      <w:pPr>
        <w:pStyle w:val="8"/>
        <w:numPr>
          <w:ilvl w:val="0"/>
          <w:numId w:val="8"/>
        </w:numPr>
        <w:ind w:firstLineChars="0"/>
        <w:rPr>
          <w:rFonts w:ascii="楷体_GB2312" w:eastAsia="楷体_GB2312"/>
        </w:rPr>
      </w:pPr>
      <w:r>
        <w:rPr>
          <w:rFonts w:hint="eastAsia" w:ascii="楷体_GB2312" w:eastAsia="楷体_GB2312"/>
        </w:rPr>
        <w:t>对立统一规律</w:t>
      </w:r>
    </w:p>
    <w:p>
      <w:pPr>
        <w:pStyle w:val="8"/>
        <w:numPr>
          <w:ilvl w:val="0"/>
          <w:numId w:val="8"/>
        </w:numPr>
        <w:ind w:firstLineChars="0"/>
        <w:rPr>
          <w:rFonts w:ascii="楷体_GB2312" w:eastAsia="楷体_GB2312"/>
        </w:rPr>
      </w:pPr>
      <w:r>
        <w:rPr>
          <w:rFonts w:hint="eastAsia" w:ascii="楷体_GB2312" w:eastAsia="楷体_GB2312"/>
        </w:rPr>
        <w:t>否定之否定规律</w:t>
      </w:r>
    </w:p>
    <w:p>
      <w:pPr>
        <w:pStyle w:val="8"/>
        <w:numPr>
          <w:ilvl w:val="0"/>
          <w:numId w:val="2"/>
        </w:numPr>
        <w:ind w:firstLineChars="0"/>
        <w:rPr>
          <w:rFonts w:ascii="楷体_GB2312" w:eastAsia="楷体_GB2312"/>
          <w:b/>
        </w:rPr>
      </w:pPr>
      <w:r>
        <w:rPr>
          <w:rFonts w:hint="eastAsia" w:ascii="楷体_GB2312" w:eastAsia="楷体_GB2312"/>
          <w:b/>
        </w:rPr>
        <w:t>历史规律与社会形态的更替</w:t>
      </w:r>
    </w:p>
    <w:p>
      <w:pPr>
        <w:pStyle w:val="8"/>
        <w:numPr>
          <w:ilvl w:val="0"/>
          <w:numId w:val="9"/>
        </w:numPr>
        <w:ind w:firstLineChars="0"/>
        <w:rPr>
          <w:rFonts w:ascii="楷体_GB2312" w:eastAsia="楷体_GB2312"/>
        </w:rPr>
      </w:pPr>
      <w:r>
        <w:rPr>
          <w:rFonts w:hint="eastAsia" w:ascii="楷体_GB2312" w:eastAsia="楷体_GB2312"/>
        </w:rPr>
        <w:t>历史运动的规律及其特殊性</w:t>
      </w:r>
    </w:p>
    <w:p>
      <w:pPr>
        <w:pStyle w:val="8"/>
        <w:numPr>
          <w:ilvl w:val="0"/>
          <w:numId w:val="9"/>
        </w:numPr>
        <w:ind w:firstLineChars="0"/>
        <w:rPr>
          <w:rFonts w:ascii="楷体_GB2312" w:eastAsia="楷体_GB2312"/>
        </w:rPr>
      </w:pPr>
      <w:r>
        <w:rPr>
          <w:rFonts w:hint="eastAsia" w:ascii="楷体_GB2312" w:eastAsia="楷体_GB2312"/>
        </w:rPr>
        <w:t>历史规律的实现途径</w:t>
      </w:r>
    </w:p>
    <w:p>
      <w:pPr>
        <w:pStyle w:val="8"/>
        <w:numPr>
          <w:ilvl w:val="0"/>
          <w:numId w:val="9"/>
        </w:numPr>
        <w:ind w:firstLineChars="0"/>
        <w:rPr>
          <w:rFonts w:ascii="楷体_GB2312" w:eastAsia="楷体_GB2312"/>
        </w:rPr>
      </w:pPr>
      <w:r>
        <w:rPr>
          <w:rFonts w:hint="eastAsia" w:ascii="楷体_GB2312" w:eastAsia="楷体_GB2312"/>
        </w:rPr>
        <w:t>社会形态的更替及其多样性</w:t>
      </w:r>
    </w:p>
    <w:p>
      <w:pPr>
        <w:pStyle w:val="8"/>
        <w:numPr>
          <w:ilvl w:val="0"/>
          <w:numId w:val="2"/>
        </w:numPr>
        <w:ind w:firstLineChars="0"/>
        <w:rPr>
          <w:rFonts w:ascii="楷体_GB2312" w:eastAsia="楷体_GB2312"/>
          <w:b/>
        </w:rPr>
      </w:pPr>
      <w:r>
        <w:rPr>
          <w:rFonts w:hint="eastAsia" w:ascii="楷体_GB2312" w:eastAsia="楷体_GB2312"/>
          <w:b/>
        </w:rPr>
        <w:t>认识与实践</w:t>
      </w:r>
    </w:p>
    <w:p>
      <w:pPr>
        <w:pStyle w:val="8"/>
        <w:numPr>
          <w:ilvl w:val="0"/>
          <w:numId w:val="10"/>
        </w:numPr>
        <w:ind w:firstLineChars="0"/>
        <w:rPr>
          <w:rFonts w:ascii="楷体_GB2312" w:eastAsia="楷体_GB2312"/>
        </w:rPr>
      </w:pPr>
      <w:r>
        <w:rPr>
          <w:rFonts w:hint="eastAsia" w:ascii="楷体_GB2312" w:eastAsia="楷体_GB2312"/>
        </w:rPr>
        <w:t>认识的发生</w:t>
      </w:r>
    </w:p>
    <w:p>
      <w:pPr>
        <w:pStyle w:val="8"/>
        <w:numPr>
          <w:ilvl w:val="0"/>
          <w:numId w:val="10"/>
        </w:numPr>
        <w:ind w:firstLineChars="0"/>
        <w:rPr>
          <w:rFonts w:ascii="楷体_GB2312" w:eastAsia="楷体_GB2312"/>
        </w:rPr>
      </w:pPr>
      <w:r>
        <w:rPr>
          <w:rFonts w:hint="eastAsia" w:ascii="楷体_GB2312" w:eastAsia="楷体_GB2312"/>
        </w:rPr>
        <w:t>认识的本质</w:t>
      </w:r>
    </w:p>
    <w:p>
      <w:pPr>
        <w:pStyle w:val="8"/>
        <w:numPr>
          <w:ilvl w:val="0"/>
          <w:numId w:val="10"/>
        </w:numPr>
        <w:ind w:firstLineChars="0"/>
        <w:rPr>
          <w:rFonts w:ascii="楷体_GB2312" w:eastAsia="楷体_GB2312"/>
        </w:rPr>
      </w:pPr>
      <w:r>
        <w:rPr>
          <w:rFonts w:hint="eastAsia" w:ascii="楷体_GB2312" w:eastAsia="楷体_GB2312"/>
        </w:rPr>
        <w:t>认识的结构</w:t>
      </w:r>
    </w:p>
    <w:p>
      <w:pPr>
        <w:pStyle w:val="8"/>
        <w:numPr>
          <w:ilvl w:val="0"/>
          <w:numId w:val="2"/>
        </w:numPr>
        <w:ind w:firstLineChars="0"/>
        <w:rPr>
          <w:rFonts w:ascii="楷体_GB2312" w:eastAsia="楷体_GB2312"/>
          <w:b/>
        </w:rPr>
      </w:pPr>
      <w:r>
        <w:rPr>
          <w:rFonts w:hint="eastAsia" w:ascii="楷体_GB2312" w:eastAsia="楷体_GB2312"/>
          <w:b/>
        </w:rPr>
        <w:t>认识形式与认识过程</w:t>
      </w:r>
    </w:p>
    <w:p>
      <w:pPr>
        <w:pStyle w:val="8"/>
        <w:numPr>
          <w:ilvl w:val="0"/>
          <w:numId w:val="11"/>
        </w:numPr>
        <w:ind w:firstLineChars="0"/>
        <w:rPr>
          <w:rFonts w:ascii="楷体_GB2312" w:eastAsia="楷体_GB2312"/>
        </w:rPr>
      </w:pPr>
      <w:r>
        <w:rPr>
          <w:rFonts w:hint="eastAsia" w:ascii="楷体_GB2312" w:eastAsia="楷体_GB2312"/>
        </w:rPr>
        <w:t>主体观念地把握客体的基本形式</w:t>
      </w:r>
    </w:p>
    <w:p>
      <w:pPr>
        <w:pStyle w:val="8"/>
        <w:numPr>
          <w:ilvl w:val="0"/>
          <w:numId w:val="11"/>
        </w:numPr>
        <w:ind w:firstLineChars="0"/>
        <w:rPr>
          <w:rFonts w:ascii="楷体_GB2312" w:eastAsia="楷体_GB2312"/>
        </w:rPr>
      </w:pPr>
      <w:r>
        <w:rPr>
          <w:rFonts w:hint="eastAsia" w:ascii="楷体_GB2312" w:eastAsia="楷体_GB2312"/>
        </w:rPr>
        <w:t>认识过程及其内在机制</w:t>
      </w:r>
    </w:p>
    <w:p>
      <w:pPr>
        <w:pStyle w:val="8"/>
        <w:numPr>
          <w:ilvl w:val="0"/>
          <w:numId w:val="2"/>
        </w:numPr>
        <w:ind w:firstLineChars="0"/>
        <w:rPr>
          <w:rFonts w:ascii="楷体_GB2312" w:eastAsia="楷体_GB2312"/>
          <w:b/>
        </w:rPr>
      </w:pPr>
      <w:r>
        <w:rPr>
          <w:rFonts w:hint="eastAsia" w:ascii="楷体_GB2312" w:eastAsia="楷体_GB2312"/>
          <w:b/>
        </w:rPr>
        <w:t>认识活动与思维方法</w:t>
      </w:r>
    </w:p>
    <w:p>
      <w:pPr>
        <w:pStyle w:val="8"/>
        <w:numPr>
          <w:ilvl w:val="0"/>
          <w:numId w:val="12"/>
        </w:numPr>
        <w:ind w:firstLineChars="0"/>
        <w:rPr>
          <w:rFonts w:ascii="楷体_GB2312" w:eastAsia="楷体_GB2312"/>
        </w:rPr>
      </w:pPr>
      <w:r>
        <w:rPr>
          <w:rFonts w:hint="eastAsia" w:ascii="楷体_GB2312" w:eastAsia="楷体_GB2312"/>
        </w:rPr>
        <w:t>认识活动中的思维方法</w:t>
      </w:r>
    </w:p>
    <w:p>
      <w:pPr>
        <w:pStyle w:val="8"/>
        <w:numPr>
          <w:ilvl w:val="0"/>
          <w:numId w:val="12"/>
        </w:numPr>
        <w:ind w:firstLineChars="0"/>
        <w:rPr>
          <w:rFonts w:ascii="楷体_GB2312" w:eastAsia="楷体_GB2312"/>
        </w:rPr>
      </w:pPr>
      <w:r>
        <w:rPr>
          <w:rFonts w:hint="eastAsia" w:ascii="楷体_GB2312" w:eastAsia="楷体_GB2312"/>
        </w:rPr>
        <w:t>辩证思维方法及其与科学思想方法的关系</w:t>
      </w:r>
    </w:p>
    <w:p>
      <w:pPr>
        <w:rPr>
          <w:rFonts w:ascii="楷体_GB2312" w:eastAsia="楷体_GB2312"/>
          <w:b/>
        </w:rPr>
      </w:pPr>
      <w:r>
        <w:rPr>
          <w:rFonts w:hint="eastAsia" w:ascii="楷体_GB2312" w:eastAsia="楷体_GB2312"/>
          <w:b/>
        </w:rPr>
        <w:t>第十一章 真理与价值</w:t>
      </w:r>
    </w:p>
    <w:p>
      <w:pPr>
        <w:pStyle w:val="8"/>
        <w:numPr>
          <w:ilvl w:val="0"/>
          <w:numId w:val="13"/>
        </w:numPr>
        <w:ind w:firstLineChars="0"/>
        <w:rPr>
          <w:rFonts w:ascii="楷体_GB2312" w:eastAsia="楷体_GB2312"/>
        </w:rPr>
      </w:pPr>
      <w:r>
        <w:rPr>
          <w:rFonts w:hint="eastAsia" w:ascii="楷体_GB2312" w:eastAsia="楷体_GB2312"/>
        </w:rPr>
        <w:t>真理</w:t>
      </w:r>
    </w:p>
    <w:p>
      <w:pPr>
        <w:pStyle w:val="8"/>
        <w:numPr>
          <w:ilvl w:val="0"/>
          <w:numId w:val="13"/>
        </w:numPr>
        <w:ind w:firstLineChars="0"/>
        <w:rPr>
          <w:rFonts w:ascii="楷体_GB2312" w:eastAsia="楷体_GB2312"/>
        </w:rPr>
      </w:pPr>
      <w:r>
        <w:rPr>
          <w:rFonts w:hint="eastAsia" w:ascii="楷体_GB2312" w:eastAsia="楷体_GB2312"/>
        </w:rPr>
        <w:t>价值</w:t>
      </w:r>
    </w:p>
    <w:p>
      <w:pPr>
        <w:pStyle w:val="8"/>
        <w:numPr>
          <w:ilvl w:val="0"/>
          <w:numId w:val="13"/>
        </w:numPr>
        <w:ind w:firstLineChars="0"/>
        <w:rPr>
          <w:rFonts w:ascii="楷体_GB2312" w:eastAsia="楷体_GB2312"/>
        </w:rPr>
      </w:pPr>
      <w:r>
        <w:rPr>
          <w:rFonts w:hint="eastAsia" w:ascii="楷体_GB2312" w:eastAsia="楷体_GB2312"/>
        </w:rPr>
        <w:t>真理与价值的关系</w:t>
      </w:r>
    </w:p>
    <w:p>
      <w:pPr>
        <w:rPr>
          <w:rFonts w:ascii="楷体_GB2312" w:eastAsia="楷体_GB2312"/>
          <w:b/>
        </w:rPr>
      </w:pPr>
      <w:r>
        <w:rPr>
          <w:rFonts w:hint="eastAsia" w:ascii="楷体_GB2312" w:eastAsia="楷体_GB2312"/>
          <w:b/>
        </w:rPr>
        <w:t>第十二章 社会进步与人的发展</w:t>
      </w:r>
    </w:p>
    <w:p>
      <w:pPr>
        <w:pStyle w:val="8"/>
        <w:numPr>
          <w:ilvl w:val="0"/>
          <w:numId w:val="14"/>
        </w:numPr>
        <w:ind w:firstLineChars="0"/>
        <w:rPr>
          <w:rFonts w:ascii="楷体_GB2312" w:eastAsia="楷体_GB2312"/>
        </w:rPr>
      </w:pPr>
      <w:r>
        <w:rPr>
          <w:rFonts w:hint="eastAsia" w:ascii="楷体_GB2312" w:eastAsia="楷体_GB2312"/>
        </w:rPr>
        <w:t xml:space="preserve"> 社会进步及其标准</w:t>
      </w:r>
    </w:p>
    <w:p>
      <w:pPr>
        <w:pStyle w:val="8"/>
        <w:numPr>
          <w:ilvl w:val="0"/>
          <w:numId w:val="14"/>
        </w:numPr>
        <w:ind w:firstLineChars="0"/>
        <w:rPr>
          <w:rFonts w:ascii="楷体_GB2312" w:eastAsia="楷体_GB2312"/>
        </w:rPr>
      </w:pPr>
      <w:r>
        <w:rPr>
          <w:rFonts w:hint="eastAsia" w:ascii="楷体_GB2312" w:eastAsia="楷体_GB2312"/>
        </w:rPr>
        <w:t xml:space="preserve"> 人的发展及其历史历程</w:t>
      </w:r>
    </w:p>
    <w:p>
      <w:pPr>
        <w:pStyle w:val="8"/>
        <w:numPr>
          <w:ilvl w:val="0"/>
          <w:numId w:val="14"/>
        </w:numPr>
        <w:ind w:firstLineChars="0"/>
        <w:rPr>
          <w:rFonts w:hint="eastAsia" w:ascii="楷体_GB2312" w:eastAsia="楷体_GB2312"/>
        </w:rPr>
      </w:pPr>
      <w:r>
        <w:rPr>
          <w:rFonts w:hint="eastAsia" w:ascii="楷体_GB2312" w:eastAsia="楷体_GB2312"/>
        </w:rPr>
        <w:t xml:space="preserve"> 必然王国与自由王国</w:t>
      </w:r>
    </w:p>
    <w:p>
      <w:pPr>
        <w:pStyle w:val="8"/>
        <w:ind w:firstLine="0" w:firstLineChars="0"/>
        <w:rPr>
          <w:rFonts w:hint="eastAsia" w:ascii="楷体_GB2312" w:eastAsia="楷体_GB2312"/>
        </w:rPr>
      </w:pPr>
    </w:p>
    <w:p>
      <w:pPr>
        <w:pStyle w:val="7"/>
        <w:spacing w:line="520" w:lineRule="atLeast"/>
        <w:ind w:firstLine="562"/>
        <w:jc w:val="center"/>
        <w:rPr>
          <w:rFonts w:ascii="楷体_GB2312" w:eastAsia="楷体_GB2312"/>
          <w:bCs/>
          <w:sz w:val="28"/>
          <w:szCs w:val="28"/>
        </w:rPr>
      </w:pPr>
      <w:r>
        <w:rPr>
          <w:rFonts w:hint="eastAsia" w:ascii="楷体_GB2312" w:eastAsia="楷体_GB2312"/>
          <w:bCs/>
          <w:sz w:val="28"/>
          <w:szCs w:val="28"/>
        </w:rPr>
        <w:t>四、参考书目</w:t>
      </w:r>
    </w:p>
    <w:p>
      <w:pPr>
        <w:pStyle w:val="8"/>
        <w:ind w:firstLine="0" w:firstLineChars="0"/>
        <w:rPr>
          <w:rFonts w:hint="eastAsia" w:ascii="楷体_GB2312" w:eastAsia="楷体_GB2312"/>
        </w:rPr>
      </w:pPr>
    </w:p>
    <w:p>
      <w:pPr>
        <w:pStyle w:val="8"/>
        <w:ind w:firstLine="0" w:firstLineChars="0"/>
        <w:rPr>
          <w:rFonts w:hint="eastAsia" w:ascii="楷体_GB2312" w:eastAsia="楷体_GB2312"/>
        </w:rPr>
      </w:pPr>
    </w:p>
    <w:p>
      <w:pPr>
        <w:pStyle w:val="8"/>
        <w:numPr>
          <w:ilvl w:val="0"/>
          <w:numId w:val="15"/>
        </w:numPr>
        <w:ind w:firstLineChars="0"/>
        <w:rPr>
          <w:rFonts w:hint="eastAsia" w:ascii="楷体_GB2312" w:eastAsia="楷体_GB2312"/>
        </w:rPr>
      </w:pPr>
      <w:r>
        <w:rPr>
          <w:rFonts w:hint="eastAsia" w:ascii="楷体_GB2312" w:eastAsia="楷体_GB2312"/>
        </w:rPr>
        <w:t>李秀林、王于、李淮春主编《辩证唯物主义和历史唯物主义原理》，中国人民大学出版社2004年11月第五版。</w:t>
      </w:r>
    </w:p>
    <w:p>
      <w:pPr>
        <w:pStyle w:val="8"/>
        <w:numPr>
          <w:ilvl w:val="0"/>
          <w:numId w:val="15"/>
        </w:numPr>
        <w:ind w:firstLineChars="0"/>
        <w:rPr>
          <w:rFonts w:ascii="楷体_GB2312" w:eastAsia="楷体_GB2312"/>
        </w:rPr>
      </w:pPr>
      <w:r>
        <w:rPr>
          <w:rFonts w:hint="eastAsia" w:ascii="楷体_GB2312" w:eastAsia="楷体_GB2312"/>
        </w:rPr>
        <w:t>《马克思主义哲学》编写组，《马克思主义哲学》，高等教育出版社，人民出版社2009.9（2016.5重印）。</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65C"/>
    <w:multiLevelType w:val="multilevel"/>
    <w:tmpl w:val="01D8665C"/>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1">
    <w:nsid w:val="07C542FA"/>
    <w:multiLevelType w:val="multilevel"/>
    <w:tmpl w:val="07C542FA"/>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2">
    <w:nsid w:val="094E215E"/>
    <w:multiLevelType w:val="multilevel"/>
    <w:tmpl w:val="094E215E"/>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3">
    <w:nsid w:val="1AD91D1B"/>
    <w:multiLevelType w:val="multilevel"/>
    <w:tmpl w:val="1AD91D1B"/>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4">
    <w:nsid w:val="26C45DB9"/>
    <w:multiLevelType w:val="multilevel"/>
    <w:tmpl w:val="26C45DB9"/>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5">
    <w:nsid w:val="2A6512DA"/>
    <w:multiLevelType w:val="multilevel"/>
    <w:tmpl w:val="2A6512DA"/>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1A70FDB"/>
    <w:multiLevelType w:val="multilevel"/>
    <w:tmpl w:val="31A70FDB"/>
    <w:lvl w:ilvl="0" w:tentative="0">
      <w:start w:val="1"/>
      <w:numFmt w:val="japaneseCounting"/>
      <w:lvlText w:val="第%1节"/>
      <w:lvlJc w:val="left"/>
      <w:pPr>
        <w:ind w:left="555" w:hanging="360"/>
      </w:pPr>
      <w:rPr>
        <w:rFonts w:ascii="Calibri" w:hAnsi="Calibri" w:eastAsia="宋体" w:cs="Times New Roman"/>
        <w:lang w:val="en-US"/>
      </w:rPr>
    </w:lvl>
    <w:lvl w:ilvl="1" w:tentative="0">
      <w:start w:val="1"/>
      <w:numFmt w:val="lowerLetter"/>
      <w:lvlText w:val="%2)"/>
      <w:lvlJc w:val="left"/>
      <w:pPr>
        <w:ind w:left="1035" w:hanging="420"/>
      </w:pPr>
    </w:lvl>
    <w:lvl w:ilvl="2" w:tentative="0">
      <w:start w:val="1"/>
      <w:numFmt w:val="lowerRoman"/>
      <w:lvlText w:val="%3."/>
      <w:lvlJc w:val="right"/>
      <w:pPr>
        <w:ind w:left="1455" w:hanging="420"/>
      </w:pPr>
    </w:lvl>
    <w:lvl w:ilvl="3" w:tentative="0">
      <w:start w:val="1"/>
      <w:numFmt w:val="decimal"/>
      <w:lvlText w:val="%4."/>
      <w:lvlJc w:val="left"/>
      <w:pPr>
        <w:ind w:left="1875" w:hanging="420"/>
      </w:pPr>
    </w:lvl>
    <w:lvl w:ilvl="4" w:tentative="0">
      <w:start w:val="1"/>
      <w:numFmt w:val="lowerLetter"/>
      <w:lvlText w:val="%5)"/>
      <w:lvlJc w:val="left"/>
      <w:pPr>
        <w:ind w:left="2295" w:hanging="420"/>
      </w:pPr>
    </w:lvl>
    <w:lvl w:ilvl="5" w:tentative="0">
      <w:start w:val="1"/>
      <w:numFmt w:val="lowerRoman"/>
      <w:lvlText w:val="%6."/>
      <w:lvlJc w:val="right"/>
      <w:pPr>
        <w:ind w:left="2715" w:hanging="420"/>
      </w:pPr>
    </w:lvl>
    <w:lvl w:ilvl="6" w:tentative="0">
      <w:start w:val="1"/>
      <w:numFmt w:val="decimal"/>
      <w:lvlText w:val="%7."/>
      <w:lvlJc w:val="left"/>
      <w:pPr>
        <w:ind w:left="3135" w:hanging="420"/>
      </w:pPr>
    </w:lvl>
    <w:lvl w:ilvl="7" w:tentative="0">
      <w:start w:val="1"/>
      <w:numFmt w:val="lowerLetter"/>
      <w:lvlText w:val="%8)"/>
      <w:lvlJc w:val="left"/>
      <w:pPr>
        <w:ind w:left="3555" w:hanging="420"/>
      </w:pPr>
    </w:lvl>
    <w:lvl w:ilvl="8" w:tentative="0">
      <w:start w:val="1"/>
      <w:numFmt w:val="lowerRoman"/>
      <w:lvlText w:val="%9."/>
      <w:lvlJc w:val="right"/>
      <w:pPr>
        <w:ind w:left="3975" w:hanging="420"/>
      </w:pPr>
    </w:lvl>
  </w:abstractNum>
  <w:abstractNum w:abstractNumId="7">
    <w:nsid w:val="39A10E45"/>
    <w:multiLevelType w:val="multilevel"/>
    <w:tmpl w:val="39A10E45"/>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8">
    <w:nsid w:val="3B3C2A5C"/>
    <w:multiLevelType w:val="multilevel"/>
    <w:tmpl w:val="3B3C2A5C"/>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9">
    <w:nsid w:val="3F1D06FC"/>
    <w:multiLevelType w:val="multilevel"/>
    <w:tmpl w:val="3F1D06F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06E559B"/>
    <w:multiLevelType w:val="multilevel"/>
    <w:tmpl w:val="506E559B"/>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11">
    <w:nsid w:val="50C61165"/>
    <w:multiLevelType w:val="multilevel"/>
    <w:tmpl w:val="50C61165"/>
    <w:lvl w:ilvl="0" w:tentative="0">
      <w:start w:val="1"/>
      <w:numFmt w:val="japaneseCounting"/>
      <w:lvlText w:val="第%1节"/>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736006D"/>
    <w:multiLevelType w:val="multilevel"/>
    <w:tmpl w:val="5736006D"/>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13">
    <w:nsid w:val="59BC5A1D"/>
    <w:multiLevelType w:val="multilevel"/>
    <w:tmpl w:val="59BC5A1D"/>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14">
    <w:nsid w:val="7AEC76D0"/>
    <w:multiLevelType w:val="multilevel"/>
    <w:tmpl w:val="7AEC76D0"/>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num w:numId="1">
    <w:abstractNumId w:val="11"/>
  </w:num>
  <w:num w:numId="2">
    <w:abstractNumId w:val="5"/>
  </w:num>
  <w:num w:numId="3">
    <w:abstractNumId w:val="14"/>
  </w:num>
  <w:num w:numId="4">
    <w:abstractNumId w:val="4"/>
  </w:num>
  <w:num w:numId="5">
    <w:abstractNumId w:val="1"/>
  </w:num>
  <w:num w:numId="6">
    <w:abstractNumId w:val="12"/>
  </w:num>
  <w:num w:numId="7">
    <w:abstractNumId w:val="0"/>
  </w:num>
  <w:num w:numId="8">
    <w:abstractNumId w:val="13"/>
  </w:num>
  <w:num w:numId="9">
    <w:abstractNumId w:val="3"/>
  </w:num>
  <w:num w:numId="10">
    <w:abstractNumId w:val="7"/>
  </w:num>
  <w:num w:numId="11">
    <w:abstractNumId w:val="10"/>
  </w:num>
  <w:num w:numId="12">
    <w:abstractNumId w:val="2"/>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B1"/>
    <w:rsid w:val="00147D00"/>
    <w:rsid w:val="003C6487"/>
    <w:rsid w:val="00556912"/>
    <w:rsid w:val="005850B1"/>
    <w:rsid w:val="006251D3"/>
    <w:rsid w:val="007D76BA"/>
    <w:rsid w:val="0080218C"/>
    <w:rsid w:val="00861002"/>
    <w:rsid w:val="00866174"/>
    <w:rsid w:val="00871592"/>
    <w:rsid w:val="008B5FD5"/>
    <w:rsid w:val="00A37E13"/>
    <w:rsid w:val="00AF355C"/>
    <w:rsid w:val="00B31FC4"/>
    <w:rsid w:val="00BD5C25"/>
    <w:rsid w:val="00C71589"/>
    <w:rsid w:val="00C740E7"/>
    <w:rsid w:val="00D45CED"/>
    <w:rsid w:val="00E67515"/>
    <w:rsid w:val="2CD602AF"/>
    <w:rsid w:val="60644C7F"/>
    <w:rsid w:val="64D6709B"/>
    <w:rsid w:val="679501C3"/>
    <w:rsid w:val="705C6D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rFonts w:ascii="Times New Roman" w:hAnsi="Times New Roman" w:eastAsia="宋体" w:cs="Times New Roman"/>
      <w:kern w:val="0"/>
      <w:szCs w:val="21"/>
    </w:rPr>
  </w:style>
  <w:style w:type="paragraph" w:customStyle="1" w:styleId="8">
    <w:name w:val="List Paragraph"/>
    <w:basedOn w:val="1"/>
    <w:qFormat/>
    <w:uiPriority w:val="34"/>
    <w:pPr>
      <w:ind w:firstLine="420" w:firstLineChars="200"/>
    </w:p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VAIO驱动站</Company>
  <Pages>5</Pages>
  <Words>162</Words>
  <Characters>927</Characters>
  <Lines>7</Lines>
  <Paragraphs>2</Paragraphs>
  <TotalTime>0</TotalTime>
  <ScaleCrop>false</ScaleCrop>
  <LinksUpToDate>false</LinksUpToDate>
  <CharactersWithSpaces>1087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2012-09-26T16:28:00Z</dcterms:created>
  <dc:creator>QV</dc:creator>
  <cp:lastModifiedBy>Administrator</cp:lastModifiedBy>
  <cp:lastPrinted>2013-07-15T03:06:00Z</cp:lastPrinted>
  <dcterms:modified xsi:type="dcterms:W3CDTF">2021-08-30T12:03:31Z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6DA519548A244B4DB1C124696810AA20</vt:lpwstr>
  </property>
</Properties>
</file>