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24"/>
        </w:rPr>
      </w:pPr>
      <w:bookmarkStart w:id="0" w:name="_GoBack"/>
      <w:bookmarkEnd w:id="0"/>
      <w:r>
        <w:drawing>
          <wp:inline distT="0" distB="0" distL="114300" distR="114300">
            <wp:extent cx="2658110" cy="485775"/>
            <wp:effectExtent l="0" t="0" r="8890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《中国特色社会主义理论》科目大纲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color w:val="FF0000"/>
          <w:sz w:val="48"/>
          <w:szCs w:val="48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8"/>
          <w:szCs w:val="48"/>
          <w:lang w:val="en-US" w:eastAsia="zh-CN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color w:val="FF0000"/>
          <w:sz w:val="48"/>
          <w:szCs w:val="48"/>
          <w:lang w:val="en-US" w:eastAsia="zh-CN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马克思主义学院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王宗礼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ascii="仿宋_GB2312" w:hAnsi="宋体" w:eastAsia="仿宋_GB2312"/>
          <w:sz w:val="32"/>
          <w:szCs w:val="32"/>
          <w:u w:val="single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月2日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《中国特色社会主义理论》科目大纲</w:t>
      </w:r>
    </w:p>
    <w:p>
      <w:pPr>
        <w:widowControl/>
        <w:jc w:val="center"/>
        <w:rPr>
          <w:rFonts w:hint="eastAsia" w:ascii="黑体" w:hAnsi="宋体" w:eastAsia="黑体"/>
          <w:b/>
          <w:sz w:val="48"/>
          <w:szCs w:val="48"/>
          <w:lang w:val="en-US" w:eastAsia="zh-CN"/>
        </w:rPr>
      </w:pPr>
      <w:r>
        <w:rPr>
          <w:rFonts w:hint="eastAsia" w:ascii="黑体" w:hAnsi="宋体" w:eastAsia="黑体"/>
          <w:b/>
          <w:sz w:val="48"/>
          <w:szCs w:val="48"/>
          <w:lang w:val="en-US" w:eastAsia="zh-CN"/>
        </w:rPr>
        <w:t xml:space="preserve"> </w:t>
      </w:r>
    </w:p>
    <w:p>
      <w:pPr>
        <w:widowControl/>
        <w:jc w:val="center"/>
        <w:rPr>
          <w:rFonts w:hint="eastAsia" w:ascii="黑体" w:hAnsi="宋体" w:eastAsia="黑体"/>
          <w:b/>
          <w:sz w:val="48"/>
          <w:szCs w:val="48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hint="eastAsia" w:ascii="仿宋_GB2312" w:hAnsi="Verdana" w:eastAsia="仿宋_GB2312"/>
          <w:color w:val="000000"/>
          <w:szCs w:val="21"/>
        </w:rPr>
      </w:pPr>
      <w:r>
        <w:rPr>
          <w:rFonts w:hint="eastAsia" w:ascii="仿宋_GB2312" w:hAnsi="Verdana" w:eastAsia="仿宋_GB2312"/>
          <w:color w:val="000000"/>
          <w:szCs w:val="21"/>
        </w:rPr>
        <w:t>考生必须从整体上把握中国特色社会主义理论体系，理解和掌握中国特色社会主义理论的重要理论、基本内容、逻辑关系、理论发展、理论框架等内容，</w:t>
      </w:r>
      <w:r>
        <w:rPr>
          <w:rFonts w:hint="eastAsia" w:ascii="仿宋_GB2312" w:hAnsi="ˎ̥" w:eastAsia="仿宋_GB2312"/>
          <w:color w:val="000000"/>
          <w:szCs w:val="21"/>
        </w:rPr>
        <w:t>正确认识</w:t>
      </w:r>
      <w:r>
        <w:rPr>
          <w:rFonts w:hint="eastAsia" w:ascii="仿宋_GB2312" w:hAnsi="Verdana" w:eastAsia="仿宋_GB2312"/>
          <w:color w:val="000000"/>
          <w:szCs w:val="21"/>
        </w:rPr>
        <w:t>中国特色社会主义道路</w:t>
      </w:r>
      <w:r>
        <w:rPr>
          <w:rFonts w:hint="eastAsia" w:ascii="仿宋_GB2312" w:hAnsi="ˎ̥" w:eastAsia="仿宋_GB2312"/>
          <w:color w:val="000000"/>
          <w:szCs w:val="21"/>
        </w:rPr>
        <w:t>、</w:t>
      </w:r>
      <w:r>
        <w:rPr>
          <w:rFonts w:hint="eastAsia" w:ascii="仿宋_GB2312" w:hAnsi="Verdana" w:eastAsia="仿宋_GB2312"/>
          <w:color w:val="000000"/>
          <w:szCs w:val="21"/>
        </w:rPr>
        <w:t>中国特色社会主义理论体系、中国特色社会主义制度和中国特色社会主义文化之间的关系，并能正确运用中国特色社会主义理论，解释当前社会问题，提高理论联系实际能力</w:t>
      </w:r>
      <w:r>
        <w:rPr>
          <w:rFonts w:hint="eastAsia" w:ascii="仿宋_GB2312" w:hAnsi="ˎ̥" w:eastAsia="仿宋_GB2312" w:cs="宋体"/>
          <w:color w:val="000000"/>
          <w:kern w:val="0"/>
          <w:szCs w:val="21"/>
        </w:rPr>
        <w:t>。</w:t>
      </w:r>
    </w:p>
    <w:p>
      <w:pPr>
        <w:widowControl/>
        <w:jc w:val="left"/>
        <w:rPr>
          <w:rFonts w:hint="eastAsia" w:ascii="仿宋_GB2312" w:hAnsi="Verdana" w:eastAsia="仿宋_GB2312"/>
          <w:color w:val="000000"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考核学生从整体上把握</w:t>
      </w:r>
      <w:r>
        <w:rPr>
          <w:rFonts w:hint="eastAsia" w:ascii="仿宋_GB2312" w:hAnsi="Verdana" w:eastAsia="仿宋_GB2312"/>
          <w:color w:val="000000"/>
          <w:szCs w:val="21"/>
        </w:rPr>
        <w:t>中国特色社会主义理论体系</w:t>
      </w:r>
      <w:r>
        <w:rPr>
          <w:rFonts w:hint="eastAsia" w:ascii="仿宋_GB2312" w:eastAsia="仿宋_GB2312"/>
          <w:szCs w:val="21"/>
        </w:rPr>
        <w:t>，对邓小平理论、“三个代表”重要思想、科学发展观和习近平新时代中国特色社会主义思想，要全面、准确、深入地理解和掌握。并在此基础上，考核学生综合运用所学知识，用</w:t>
      </w:r>
      <w:r>
        <w:rPr>
          <w:rFonts w:hint="eastAsia" w:ascii="仿宋_GB2312" w:hAnsi="Verdana" w:eastAsia="仿宋_GB2312"/>
          <w:color w:val="000000"/>
          <w:szCs w:val="21"/>
        </w:rPr>
        <w:t>中国特色社会主义理论</w:t>
      </w:r>
      <w:r>
        <w:rPr>
          <w:rFonts w:hint="eastAsia" w:ascii="仿宋_GB2312" w:eastAsia="仿宋_GB2312"/>
          <w:szCs w:val="21"/>
        </w:rPr>
        <w:t>、观点、方法分析和解决实际问题的能力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"_Toc22083"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第一章  邓小平理论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"_Toc28699"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邓小平理论的形成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"_Toc11889"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邓小平理论的基本问题和主要内容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"_Toc28317"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邓小平理论的历史地位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"_Toc6785"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第二章  “三个代表”重要思想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"_Toc26442"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“三个代表”重要思想的形成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"_Toc3717"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“三个代表”重要思想的核心观点和主要内容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"_Toc13120"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“三个代表”重要思想的历史地位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"_Toc27709"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第三章  科学发展观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"_Toc10343"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科学发展观的形成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"_Toc26742"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科学发展观的科学内涵和主要内容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"_Toc3288"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科学发展观的历史地位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"_Toc16397"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第四章  习近平新时代中国特色社会主义思想及其历史地位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"_Toc13804"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中国特色社会主义进入新时代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"_Toc27261"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习近平新时代中国特色社会主义思想的主要内容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"_Toc30377"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习近平新时代中国特色社会主义思想的历史地位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"_Toc20282"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第五章  坚持和发展中国特色社会主义的总任务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"_Toc7741"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实现中华民族伟大复兴的中国梦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"_Toc30530"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建成社会主义现代化强国的战略安排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"_Toc27002"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第六章  “五位一体”总体布局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"_Toc27816"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建设现代化经济体系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"_Toc8333"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发展社会主义民主政治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"_Toc11203"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推动社会主义文化繁荣兴盛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"_Toc14304"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第四节  坚持在发展中保障和改善民生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"_Toc25341"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第五节  建设美丽中国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"_Toc10554"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第七章  “四个全面”战略布局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"_Toc7677"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全面建设社会主义现代化国家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"_Toc20147"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全面深化改革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"_Toc8001"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第三节  全面依法治国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"_Toc5751"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第四节  全面从严治党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"_Toc867"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第八章  全面推进国防和军队现代化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"_Toc23916"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坚持走中国特色强军之路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"_Toc25494"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推动军民融合深度发展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"_Toc28726"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第九章  中国特色大国外交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"_Toc6446"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坚持和平发展道路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"_Toc27951"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第二节  推动构建人类命运共同体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7"/>
        <w:tabs>
          <w:tab w:val="right" w:leader="dot" w:pos="8306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"_Toc4643"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第十章  坚持和加强党的领导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pStyle w:val="8"/>
        <w:tabs>
          <w:tab w:val="right" w:leader="dot" w:pos="8306"/>
        </w:tabs>
        <w:ind w:left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\l "_Toc22348"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第一节  实现中华民族伟大复兴关键在党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HYPERLINK \l "_Toc26356"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hint="eastAsia" w:ascii="宋体" w:hAnsi="宋体" w:eastAsia="宋体"/>
          <w:sz w:val="24"/>
        </w:rPr>
        <w:t>第二节  坚持党对一切工作的领导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t xml:space="preserve"> </w:t>
      </w:r>
    </w:p>
    <w:p>
      <w:pPr>
        <w:widowControl/>
        <w:spacing w:line="460" w:lineRule="exact"/>
        <w:jc w:val="center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四．参考书目</w:t>
      </w: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1.《毛泽东思想和中国特色社会主义理论体系概论》，</w:t>
      </w:r>
      <w:r>
        <w:rPr>
          <w:rFonts w:ascii="楷体_GB2312" w:eastAsia="楷体_GB2312"/>
        </w:rPr>
        <w:fldChar w:fldCharType="begin"/>
      </w:r>
      <w:r>
        <w:rPr>
          <w:rFonts w:ascii="楷体_GB2312" w:eastAsia="楷体_GB2312"/>
        </w:rPr>
        <w:instrText xml:space="preserve"> HYPERLINK "http://search.dangdang.com/?key3=%B8%DF%B5%C8%BD%CC%D3%FD%B3%F6%B0%E6%C9%E7&amp;medium=01&amp;category_path=01.00.00.00.00.00" \t "_blank" </w:instrText>
      </w:r>
      <w:r>
        <w:rPr>
          <w:rFonts w:ascii="楷体_GB2312" w:eastAsia="楷体_GB2312"/>
        </w:rPr>
        <w:fldChar w:fldCharType="separate"/>
      </w:r>
      <w:r>
        <w:rPr>
          <w:rFonts w:ascii="楷体_GB2312" w:eastAsia="楷体_GB2312"/>
        </w:rPr>
        <w:t>高等教育出版社</w:t>
      </w:r>
      <w:r>
        <w:rPr>
          <w:rFonts w:ascii="楷体_GB2312" w:eastAsia="楷体_GB2312"/>
        </w:rPr>
        <w:fldChar w:fldCharType="end"/>
      </w:r>
      <w:r>
        <w:rPr>
          <w:rFonts w:hint="eastAsia" w:ascii="楷体_GB2312" w:eastAsia="楷体_GB2312"/>
        </w:rPr>
        <w:t>2018年版</w:t>
      </w:r>
      <w:r>
        <w:rPr>
          <w:rFonts w:hint="eastAsia" w:ascii="楷体_GB2312" w:eastAsia="楷体_GB2312"/>
          <w:lang w:eastAsia="zh-CN"/>
        </w:rPr>
        <w:t>。</w:t>
      </w:r>
      <w:r>
        <w:rPr>
          <w:rFonts w:ascii="楷体_GB2312" w:eastAsia="楷体_GB2312"/>
        </w:rPr>
        <w:t xml:space="preserve"> </w:t>
      </w:r>
    </w:p>
    <w:p>
      <w:pPr>
        <w:widowControl/>
        <w:rPr>
          <w:rFonts w:hint="eastAsia" w:ascii="楷体_GB2312" w:eastAsia="楷体_GB2312"/>
        </w:rPr>
      </w:pP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B9"/>
    <w:rsid w:val="00021DB3"/>
    <w:rsid w:val="00024001"/>
    <w:rsid w:val="0003216B"/>
    <w:rsid w:val="00032C91"/>
    <w:rsid w:val="00045F24"/>
    <w:rsid w:val="0008152D"/>
    <w:rsid w:val="000B26D9"/>
    <w:rsid w:val="000B5CC7"/>
    <w:rsid w:val="001062DC"/>
    <w:rsid w:val="00107245"/>
    <w:rsid w:val="00144C3A"/>
    <w:rsid w:val="00155D8D"/>
    <w:rsid w:val="001707B9"/>
    <w:rsid w:val="00183571"/>
    <w:rsid w:val="001A5872"/>
    <w:rsid w:val="00205161"/>
    <w:rsid w:val="00223ABA"/>
    <w:rsid w:val="00231F1A"/>
    <w:rsid w:val="00235D84"/>
    <w:rsid w:val="002516AE"/>
    <w:rsid w:val="0025218F"/>
    <w:rsid w:val="00254587"/>
    <w:rsid w:val="002617A8"/>
    <w:rsid w:val="00280975"/>
    <w:rsid w:val="002C5126"/>
    <w:rsid w:val="002E333F"/>
    <w:rsid w:val="002F000C"/>
    <w:rsid w:val="00352518"/>
    <w:rsid w:val="00386479"/>
    <w:rsid w:val="003867A1"/>
    <w:rsid w:val="003A1A54"/>
    <w:rsid w:val="003D4664"/>
    <w:rsid w:val="003F2D42"/>
    <w:rsid w:val="00476B24"/>
    <w:rsid w:val="004B7384"/>
    <w:rsid w:val="004B7622"/>
    <w:rsid w:val="004D4133"/>
    <w:rsid w:val="004D55A1"/>
    <w:rsid w:val="004F5C9B"/>
    <w:rsid w:val="005349A1"/>
    <w:rsid w:val="0053675A"/>
    <w:rsid w:val="0055117B"/>
    <w:rsid w:val="0058140D"/>
    <w:rsid w:val="005879B5"/>
    <w:rsid w:val="005B2C64"/>
    <w:rsid w:val="005E419B"/>
    <w:rsid w:val="00612055"/>
    <w:rsid w:val="00614EB5"/>
    <w:rsid w:val="0064406D"/>
    <w:rsid w:val="006A5518"/>
    <w:rsid w:val="006A646E"/>
    <w:rsid w:val="00724B38"/>
    <w:rsid w:val="007A1042"/>
    <w:rsid w:val="007C0AC8"/>
    <w:rsid w:val="007E2F8D"/>
    <w:rsid w:val="008061E5"/>
    <w:rsid w:val="00815659"/>
    <w:rsid w:val="00890A04"/>
    <w:rsid w:val="00891859"/>
    <w:rsid w:val="008B3A64"/>
    <w:rsid w:val="008B3BB7"/>
    <w:rsid w:val="008B5047"/>
    <w:rsid w:val="008C28C0"/>
    <w:rsid w:val="008E2296"/>
    <w:rsid w:val="008E5BD9"/>
    <w:rsid w:val="008E66B3"/>
    <w:rsid w:val="008F6B41"/>
    <w:rsid w:val="0090137D"/>
    <w:rsid w:val="009122A8"/>
    <w:rsid w:val="00933FCF"/>
    <w:rsid w:val="009A3E59"/>
    <w:rsid w:val="009D4A64"/>
    <w:rsid w:val="009F3E09"/>
    <w:rsid w:val="00A17A0D"/>
    <w:rsid w:val="00A541EC"/>
    <w:rsid w:val="00A57EB1"/>
    <w:rsid w:val="00A61857"/>
    <w:rsid w:val="00A70A87"/>
    <w:rsid w:val="00AD5AB2"/>
    <w:rsid w:val="00AD7D96"/>
    <w:rsid w:val="00AE0C2C"/>
    <w:rsid w:val="00AF3981"/>
    <w:rsid w:val="00AF7904"/>
    <w:rsid w:val="00B3675F"/>
    <w:rsid w:val="00B71C15"/>
    <w:rsid w:val="00BB0A7E"/>
    <w:rsid w:val="00BB6985"/>
    <w:rsid w:val="00BC785B"/>
    <w:rsid w:val="00C069AB"/>
    <w:rsid w:val="00C31A32"/>
    <w:rsid w:val="00C74AD3"/>
    <w:rsid w:val="00C84BDE"/>
    <w:rsid w:val="00CA019F"/>
    <w:rsid w:val="00CE20BA"/>
    <w:rsid w:val="00CF1868"/>
    <w:rsid w:val="00CF276C"/>
    <w:rsid w:val="00D9215F"/>
    <w:rsid w:val="00DC70CE"/>
    <w:rsid w:val="00DF7E36"/>
    <w:rsid w:val="00E23FB9"/>
    <w:rsid w:val="00E4144F"/>
    <w:rsid w:val="00E877C9"/>
    <w:rsid w:val="00EC2646"/>
    <w:rsid w:val="00F00969"/>
    <w:rsid w:val="00F22A19"/>
    <w:rsid w:val="00F3738F"/>
    <w:rsid w:val="00F642AF"/>
    <w:rsid w:val="00F97302"/>
    <w:rsid w:val="00FC14A8"/>
    <w:rsid w:val="00FD01FB"/>
    <w:rsid w:val="00FD7698"/>
    <w:rsid w:val="125B0DA0"/>
    <w:rsid w:val="213F51A3"/>
    <w:rsid w:val="345950C0"/>
    <w:rsid w:val="38F35CF8"/>
    <w:rsid w:val="3E04761B"/>
    <w:rsid w:val="4BE06998"/>
    <w:rsid w:val="53A47C87"/>
    <w:rsid w:val="54C43318"/>
    <w:rsid w:val="58025254"/>
    <w:rsid w:val="5B720EAA"/>
    <w:rsid w:val="5DD420B9"/>
    <w:rsid w:val="648029E4"/>
    <w:rsid w:val="73D05235"/>
    <w:rsid w:val="7A575C4D"/>
    <w:rsid w:val="7A661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WPSOffice手动目录 1"/>
    <w:qFormat/>
    <w:uiPriority w:val="0"/>
    <w:rPr>
      <w:rFonts w:eastAsia="微软雅黑"/>
      <w:lang w:val="en-US" w:eastAsia="zh-CN" w:bidi="ar-SA"/>
    </w:rPr>
  </w:style>
  <w:style w:type="paragraph" w:customStyle="1" w:styleId="8">
    <w:name w:val="WPSOffice手动目录 2"/>
    <w:qFormat/>
    <w:uiPriority w:val="0"/>
    <w:pPr>
      <w:ind w:left="200" w:leftChars="200"/>
    </w:pPr>
    <w:rPr>
      <w:rFonts w:eastAsia="微软雅黑"/>
      <w:lang w:val="en-US" w:eastAsia="zh-CN" w:bidi="ar-SA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403</Words>
  <Characters>2300</Characters>
  <Lines>19</Lines>
  <Paragraphs>5</Paragraphs>
  <TotalTime>0</TotalTime>
  <ScaleCrop>false</ScaleCrop>
  <LinksUpToDate>false</LinksUpToDate>
  <CharactersWithSpaces>2698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2011-09-06T09:20:00Z</dcterms:created>
  <dc:creator>微软用户</dc:creator>
  <cp:lastModifiedBy>Administrator</cp:lastModifiedBy>
  <dcterms:modified xsi:type="dcterms:W3CDTF">2021-08-30T12:14:16Z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14D4E1F9D42A46169CC7517403F6A234</vt:lpwstr>
  </property>
</Properties>
</file>