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hint="eastAsia" w:ascii="黑体" w:hAnsi="黑体" w:eastAsia="黑体"/>
        </w:rPr>
      </w:pPr>
      <w:bookmarkStart w:id="0" w:name="_GoBack"/>
      <w:bookmarkEnd w:id="0"/>
      <w:r>
        <w:rPr>
          <w:rFonts w:hint="eastAsia" w:ascii="黑体" w:hAnsi="黑体" w:eastAsia="黑体"/>
        </w:rPr>
        <w:t>823《中国哲学史》考试大纲</w:t>
      </w:r>
    </w:p>
    <w:p>
      <w:pPr>
        <w:pStyle w:val="2"/>
        <w:numPr>
          <w:ilvl w:val="0"/>
          <w:numId w:val="1"/>
        </w:numPr>
        <w:snapToGrid w:val="0"/>
        <w:spacing w:before="120" w:beforeLines="50" w:after="120" w:afterLines="50" w:line="300" w:lineRule="auto"/>
        <w:jc w:val="left"/>
        <w:rPr>
          <w:rFonts w:ascii="Times New Roman" w:hAnsi="Times New Roman"/>
          <w:b/>
          <w:sz w:val="28"/>
          <w:szCs w:val="28"/>
        </w:rPr>
      </w:pPr>
      <w:r>
        <w:rPr>
          <w:rFonts w:ascii="Times New Roman" w:hAnsi="Times New Roman"/>
          <w:b/>
          <w:sz w:val="28"/>
          <w:szCs w:val="28"/>
        </w:rPr>
        <w:t>大纲</w:t>
      </w:r>
      <w:r>
        <w:rPr>
          <w:rFonts w:hint="eastAsia" w:ascii="Times New Roman" w:hAnsi="Times New Roman"/>
          <w:b/>
          <w:sz w:val="28"/>
          <w:szCs w:val="28"/>
        </w:rPr>
        <w:t>综述</w:t>
      </w:r>
    </w:p>
    <w:p>
      <w:pPr>
        <w:pStyle w:val="2"/>
        <w:snapToGrid w:val="0"/>
        <w:spacing w:before="120" w:beforeLines="50" w:after="120" w:afterLines="50" w:line="360" w:lineRule="auto"/>
        <w:ind w:firstLine="560" w:firstLineChars="200"/>
        <w:jc w:val="left"/>
        <w:rPr>
          <w:rFonts w:ascii="Times New Roman" w:hAnsi="Times New Roman"/>
          <w:bCs/>
          <w:sz w:val="28"/>
          <w:szCs w:val="28"/>
        </w:rPr>
      </w:pPr>
      <w:r>
        <w:rPr>
          <w:rFonts w:hint="eastAsia" w:ascii="Times New Roman" w:hAnsi="Times New Roman"/>
          <w:bCs/>
          <w:sz w:val="28"/>
          <w:szCs w:val="28"/>
        </w:rPr>
        <w:t>本考试大纲适用于报考北京林业大学哲学专业的硕士研究生入学考试。目标在于考察考生对中国哲学史上的哲学家、哲学派别和哲学观念等基本知识的储备和掌握；同时考查考生分析和解决中国哲学史上综合问题的实际能力等。</w:t>
      </w:r>
    </w:p>
    <w:p>
      <w:pPr>
        <w:pStyle w:val="2"/>
        <w:numPr>
          <w:ilvl w:val="0"/>
          <w:numId w:val="1"/>
        </w:numPr>
        <w:snapToGrid w:val="0"/>
        <w:spacing w:before="120" w:beforeLines="50" w:after="120" w:afterLines="50" w:line="300" w:lineRule="auto"/>
        <w:jc w:val="left"/>
        <w:rPr>
          <w:rFonts w:ascii="Times New Roman" w:hAnsi="Times New Roman"/>
          <w:b/>
          <w:sz w:val="28"/>
          <w:szCs w:val="28"/>
        </w:rPr>
      </w:pPr>
      <w:r>
        <w:rPr>
          <w:rFonts w:ascii="Times New Roman" w:hAnsi="Times New Roman"/>
          <w:b/>
          <w:sz w:val="28"/>
          <w:szCs w:val="28"/>
        </w:rPr>
        <w:t>考试内容</w:t>
      </w:r>
    </w:p>
    <w:p>
      <w:pPr>
        <w:pStyle w:val="2"/>
        <w:numPr>
          <w:ilvl w:val="0"/>
          <w:numId w:val="2"/>
        </w:numPr>
        <w:snapToGrid w:val="0"/>
        <w:spacing w:before="120" w:beforeLines="50" w:after="120" w:afterLines="50" w:line="300" w:lineRule="auto"/>
        <w:jc w:val="left"/>
        <w:rPr>
          <w:rFonts w:ascii="Times New Roman" w:hAnsi="Times New Roman"/>
          <w:b/>
          <w:sz w:val="24"/>
          <w:szCs w:val="24"/>
        </w:rPr>
      </w:pPr>
      <w:r>
        <w:rPr>
          <w:rFonts w:hint="eastAsia" w:ascii="Times New Roman" w:hAnsi="Times New Roman"/>
          <w:b/>
          <w:sz w:val="24"/>
          <w:szCs w:val="24"/>
        </w:rPr>
        <w:t xml:space="preserve">先秦时期的哲学 </w:t>
      </w:r>
      <w:r>
        <w:rPr>
          <w:rFonts w:hint="eastAsia" w:ascii="Times New Roman" w:hAnsi="Times New Roman"/>
          <w:bCs/>
          <w:sz w:val="22"/>
          <w:szCs w:val="24"/>
        </w:rPr>
        <w:t>★</w:t>
      </w:r>
    </w:p>
    <w:p>
      <w:pPr>
        <w:pStyle w:val="2"/>
        <w:snapToGrid w:val="0"/>
        <w:spacing w:before="120" w:beforeLines="50" w:after="120" w:afterLines="50" w:line="300" w:lineRule="auto"/>
        <w:ind w:firstLine="330" w:firstLineChars="150"/>
        <w:jc w:val="left"/>
        <w:rPr>
          <w:rFonts w:ascii="Times New Roman" w:hAnsi="Times New Roman"/>
          <w:bCs/>
          <w:sz w:val="24"/>
          <w:szCs w:val="24"/>
        </w:rPr>
      </w:pPr>
      <w:r>
        <w:rPr>
          <w:rFonts w:hint="eastAsia" w:ascii="Times New Roman" w:hAnsi="Times New Roman"/>
          <w:bCs/>
          <w:sz w:val="22"/>
          <w:szCs w:val="24"/>
        </w:rPr>
        <w:t xml:space="preserve">★ </w:t>
      </w:r>
      <w:r>
        <w:rPr>
          <w:rFonts w:hint="eastAsia" w:ascii="Times New Roman" w:hAnsi="Times New Roman"/>
          <w:bCs/>
          <w:sz w:val="24"/>
          <w:szCs w:val="24"/>
        </w:rPr>
        <w:t>第一章  孔子创立的儒家哲学</w:t>
      </w:r>
    </w:p>
    <w:p>
      <w:pPr>
        <w:pStyle w:val="2"/>
        <w:snapToGrid w:val="0"/>
        <w:spacing w:before="120" w:beforeLines="50" w:after="120" w:afterLines="50" w:line="300" w:lineRule="auto"/>
        <w:ind w:firstLine="330" w:firstLineChars="150"/>
        <w:jc w:val="left"/>
        <w:rPr>
          <w:rFonts w:ascii="Times New Roman" w:hAnsi="Times New Roman"/>
          <w:bCs/>
          <w:sz w:val="24"/>
          <w:szCs w:val="24"/>
        </w:rPr>
      </w:pPr>
      <w:r>
        <w:rPr>
          <w:rFonts w:hint="eastAsia" w:ascii="Times New Roman" w:hAnsi="Times New Roman"/>
          <w:bCs/>
          <w:sz w:val="22"/>
          <w:szCs w:val="24"/>
        </w:rPr>
        <w:t xml:space="preserve">★ </w:t>
      </w:r>
      <w:r>
        <w:rPr>
          <w:rFonts w:hint="eastAsia" w:ascii="Times New Roman" w:hAnsi="Times New Roman"/>
          <w:bCs/>
          <w:sz w:val="24"/>
          <w:szCs w:val="24"/>
        </w:rPr>
        <w:t>第二章  老子奠基的道家哲学</w:t>
      </w:r>
    </w:p>
    <w:p>
      <w:pPr>
        <w:pStyle w:val="2"/>
        <w:snapToGrid w:val="0"/>
        <w:spacing w:before="120" w:beforeLines="50" w:after="120" w:afterLines="50" w:line="300" w:lineRule="auto"/>
        <w:ind w:firstLine="330" w:firstLineChars="150"/>
        <w:jc w:val="left"/>
        <w:rPr>
          <w:rFonts w:ascii="Times New Roman" w:hAnsi="Times New Roman"/>
          <w:bCs/>
          <w:sz w:val="24"/>
          <w:szCs w:val="24"/>
        </w:rPr>
      </w:pPr>
      <w:r>
        <w:rPr>
          <w:rFonts w:hint="eastAsia" w:ascii="Times New Roman" w:hAnsi="Times New Roman"/>
          <w:bCs/>
          <w:sz w:val="22"/>
          <w:szCs w:val="24"/>
        </w:rPr>
        <w:t xml:space="preserve">★ </w:t>
      </w:r>
      <w:r>
        <w:rPr>
          <w:rFonts w:hint="eastAsia" w:ascii="Times New Roman" w:hAnsi="Times New Roman"/>
          <w:bCs/>
          <w:sz w:val="24"/>
          <w:szCs w:val="24"/>
        </w:rPr>
        <w:t>第三章  墨子建构的墨家哲学</w:t>
      </w:r>
    </w:p>
    <w:p>
      <w:pPr>
        <w:pStyle w:val="2"/>
        <w:snapToGrid w:val="0"/>
        <w:spacing w:before="120" w:beforeLines="50" w:after="120" w:afterLines="50" w:line="300" w:lineRule="auto"/>
        <w:ind w:firstLine="330" w:firstLineChars="150"/>
        <w:jc w:val="left"/>
        <w:rPr>
          <w:rFonts w:ascii="Times New Roman" w:hAnsi="Times New Roman"/>
          <w:bCs/>
          <w:sz w:val="24"/>
          <w:szCs w:val="24"/>
        </w:rPr>
      </w:pPr>
      <w:r>
        <w:rPr>
          <w:rFonts w:hint="eastAsia" w:ascii="Times New Roman" w:hAnsi="Times New Roman"/>
          <w:bCs/>
          <w:sz w:val="22"/>
          <w:szCs w:val="24"/>
        </w:rPr>
        <w:t xml:space="preserve">★ </w:t>
      </w:r>
      <w:r>
        <w:rPr>
          <w:rFonts w:hint="eastAsia" w:ascii="Times New Roman" w:hAnsi="Times New Roman"/>
          <w:bCs/>
          <w:sz w:val="24"/>
          <w:szCs w:val="24"/>
        </w:rPr>
        <w:t>第四章  早期儒家的性命说与孟子对儒学的深化</w:t>
      </w:r>
    </w:p>
    <w:p>
      <w:pPr>
        <w:pStyle w:val="2"/>
        <w:snapToGrid w:val="0"/>
        <w:spacing w:before="120" w:beforeLines="50" w:after="120" w:afterLines="50" w:line="300" w:lineRule="auto"/>
        <w:ind w:firstLine="330" w:firstLineChars="150"/>
        <w:jc w:val="left"/>
        <w:rPr>
          <w:rFonts w:ascii="Times New Roman" w:hAnsi="Times New Roman"/>
          <w:bCs/>
          <w:sz w:val="24"/>
          <w:szCs w:val="24"/>
        </w:rPr>
      </w:pPr>
      <w:r>
        <w:rPr>
          <w:rFonts w:hint="eastAsia" w:ascii="Times New Roman" w:hAnsi="Times New Roman"/>
          <w:bCs/>
          <w:sz w:val="22"/>
          <w:szCs w:val="24"/>
        </w:rPr>
        <w:t xml:space="preserve">★ </w:t>
      </w:r>
      <w:r>
        <w:rPr>
          <w:rFonts w:hint="eastAsia" w:ascii="Times New Roman" w:hAnsi="Times New Roman"/>
          <w:bCs/>
          <w:sz w:val="24"/>
          <w:szCs w:val="24"/>
        </w:rPr>
        <w:t>第五章  道家思想的弘扬与庄子的精神追求</w:t>
      </w:r>
    </w:p>
    <w:p>
      <w:pPr>
        <w:pStyle w:val="2"/>
        <w:snapToGrid w:val="0"/>
        <w:spacing w:before="120" w:beforeLines="50" w:after="120" w:afterLines="50" w:line="300" w:lineRule="auto"/>
        <w:ind w:firstLine="330" w:firstLineChars="150"/>
        <w:jc w:val="left"/>
        <w:rPr>
          <w:rFonts w:hint="eastAsia" w:ascii="Times New Roman" w:hAnsi="Times New Roman"/>
          <w:bCs/>
          <w:sz w:val="24"/>
          <w:szCs w:val="24"/>
        </w:rPr>
      </w:pPr>
      <w:r>
        <w:rPr>
          <w:rFonts w:hint="eastAsia" w:ascii="Times New Roman" w:hAnsi="Times New Roman"/>
          <w:bCs/>
          <w:sz w:val="22"/>
          <w:szCs w:val="24"/>
        </w:rPr>
        <w:t xml:space="preserve">★ </w:t>
      </w:r>
      <w:r>
        <w:rPr>
          <w:rFonts w:hint="eastAsia" w:ascii="Times New Roman" w:hAnsi="Times New Roman"/>
          <w:bCs/>
          <w:sz w:val="24"/>
          <w:szCs w:val="24"/>
        </w:rPr>
        <w:t>第六章  阴阳五行学说的发展与《易传》的气化流行论</w:t>
      </w:r>
    </w:p>
    <w:p>
      <w:pPr>
        <w:pStyle w:val="2"/>
        <w:snapToGrid w:val="0"/>
        <w:spacing w:before="120" w:beforeLines="50" w:after="120" w:afterLines="50" w:line="300" w:lineRule="auto"/>
        <w:ind w:firstLine="600" w:firstLineChars="250"/>
        <w:jc w:val="left"/>
        <w:rPr>
          <w:rFonts w:ascii="Times New Roman" w:hAnsi="Times New Roman"/>
          <w:bCs/>
          <w:sz w:val="24"/>
          <w:szCs w:val="24"/>
        </w:rPr>
      </w:pPr>
      <w:r>
        <w:rPr>
          <w:rFonts w:hint="eastAsia" w:ascii="Times New Roman" w:hAnsi="Times New Roman"/>
          <w:bCs/>
          <w:sz w:val="24"/>
          <w:szCs w:val="24"/>
        </w:rPr>
        <w:t>第七章  名辩思潮与后期墨家</w:t>
      </w:r>
    </w:p>
    <w:p>
      <w:pPr>
        <w:pStyle w:val="2"/>
        <w:snapToGrid w:val="0"/>
        <w:spacing w:before="120" w:beforeLines="50" w:after="120" w:afterLines="50" w:line="300" w:lineRule="auto"/>
        <w:ind w:firstLine="330" w:firstLineChars="150"/>
        <w:jc w:val="left"/>
        <w:rPr>
          <w:rFonts w:ascii="Times New Roman" w:hAnsi="Times New Roman"/>
          <w:bCs/>
          <w:sz w:val="24"/>
          <w:szCs w:val="24"/>
        </w:rPr>
      </w:pPr>
      <w:r>
        <w:rPr>
          <w:rFonts w:hint="eastAsia" w:ascii="Times New Roman" w:hAnsi="Times New Roman"/>
          <w:bCs/>
          <w:sz w:val="22"/>
          <w:szCs w:val="24"/>
        </w:rPr>
        <w:t xml:space="preserve">★ </w:t>
      </w:r>
      <w:r>
        <w:rPr>
          <w:rFonts w:hint="eastAsia" w:ascii="Times New Roman" w:hAnsi="Times New Roman"/>
          <w:bCs/>
          <w:sz w:val="24"/>
          <w:szCs w:val="24"/>
        </w:rPr>
        <w:t>第八章  荀子对儒家“外王学”的拓展</w:t>
      </w:r>
    </w:p>
    <w:p>
      <w:pPr>
        <w:pStyle w:val="2"/>
        <w:snapToGrid w:val="0"/>
        <w:spacing w:before="120" w:beforeLines="50" w:after="120" w:afterLines="50" w:line="300" w:lineRule="auto"/>
        <w:ind w:firstLine="330" w:firstLineChars="150"/>
        <w:jc w:val="left"/>
        <w:rPr>
          <w:rFonts w:hint="eastAsia" w:ascii="Times New Roman" w:hAnsi="Times New Roman"/>
          <w:bCs/>
          <w:sz w:val="24"/>
          <w:szCs w:val="24"/>
        </w:rPr>
      </w:pPr>
      <w:r>
        <w:rPr>
          <w:rFonts w:hint="eastAsia" w:ascii="Times New Roman" w:hAnsi="Times New Roman"/>
          <w:bCs/>
          <w:sz w:val="22"/>
          <w:szCs w:val="24"/>
        </w:rPr>
        <w:t xml:space="preserve">★ </w:t>
      </w:r>
      <w:r>
        <w:rPr>
          <w:rFonts w:hint="eastAsia" w:ascii="Times New Roman" w:hAnsi="Times New Roman"/>
          <w:bCs/>
          <w:sz w:val="24"/>
          <w:szCs w:val="24"/>
        </w:rPr>
        <w:t>第九章  法家集成者韩非子的哲学</w:t>
      </w:r>
    </w:p>
    <w:p>
      <w:pPr>
        <w:pStyle w:val="2"/>
        <w:numPr>
          <w:ilvl w:val="0"/>
          <w:numId w:val="2"/>
        </w:numPr>
        <w:snapToGrid w:val="0"/>
        <w:spacing w:before="120" w:beforeLines="50" w:after="120" w:afterLines="50" w:line="300" w:lineRule="auto"/>
        <w:jc w:val="left"/>
        <w:rPr>
          <w:rFonts w:ascii="Times New Roman" w:hAnsi="Times New Roman"/>
          <w:b/>
          <w:sz w:val="24"/>
          <w:szCs w:val="24"/>
        </w:rPr>
      </w:pPr>
      <w:r>
        <w:rPr>
          <w:rFonts w:hint="eastAsia" w:ascii="Times New Roman" w:hAnsi="Times New Roman"/>
          <w:b/>
          <w:sz w:val="24"/>
          <w:szCs w:val="24"/>
        </w:rPr>
        <w:t xml:space="preserve">汉唐时期的哲学 </w:t>
      </w:r>
      <w:r>
        <w:rPr>
          <w:rFonts w:hint="eastAsia" w:ascii="Times New Roman" w:hAnsi="Times New Roman"/>
          <w:bCs/>
          <w:sz w:val="22"/>
          <w:szCs w:val="24"/>
        </w:rPr>
        <w:t>★</w:t>
      </w:r>
    </w:p>
    <w:p>
      <w:pPr>
        <w:pStyle w:val="2"/>
        <w:snapToGrid w:val="0"/>
        <w:spacing w:before="120" w:beforeLines="50" w:after="120" w:afterLines="50" w:line="300" w:lineRule="auto"/>
        <w:ind w:firstLine="330" w:firstLineChars="150"/>
        <w:jc w:val="left"/>
        <w:rPr>
          <w:rFonts w:hint="eastAsia" w:ascii="Times New Roman" w:hAnsi="Times New Roman"/>
          <w:bCs/>
          <w:sz w:val="24"/>
          <w:szCs w:val="24"/>
        </w:rPr>
      </w:pPr>
      <w:r>
        <w:rPr>
          <w:rFonts w:hint="eastAsia" w:ascii="Times New Roman" w:hAnsi="Times New Roman"/>
          <w:bCs/>
          <w:sz w:val="22"/>
          <w:szCs w:val="24"/>
        </w:rPr>
        <w:t xml:space="preserve">★ </w:t>
      </w:r>
      <w:r>
        <w:rPr>
          <w:rFonts w:hint="eastAsia" w:ascii="Times New Roman" w:hAnsi="Times New Roman"/>
          <w:bCs/>
          <w:sz w:val="24"/>
          <w:szCs w:val="24"/>
        </w:rPr>
        <w:t>第一章 秦汉之际的“黄老”思潮</w:t>
      </w:r>
    </w:p>
    <w:p>
      <w:pPr>
        <w:pStyle w:val="2"/>
        <w:snapToGrid w:val="0"/>
        <w:spacing w:before="120" w:beforeLines="50" w:after="120" w:afterLines="50" w:line="300" w:lineRule="auto"/>
        <w:ind w:firstLine="330" w:firstLineChars="150"/>
        <w:jc w:val="left"/>
        <w:rPr>
          <w:rFonts w:ascii="Times New Roman" w:hAnsi="Times New Roman"/>
          <w:bCs/>
          <w:sz w:val="24"/>
          <w:szCs w:val="24"/>
        </w:rPr>
      </w:pPr>
      <w:r>
        <w:rPr>
          <w:rFonts w:hint="eastAsia" w:ascii="Times New Roman" w:hAnsi="Times New Roman"/>
          <w:bCs/>
          <w:sz w:val="22"/>
          <w:szCs w:val="24"/>
        </w:rPr>
        <w:t xml:space="preserve">★ </w:t>
      </w:r>
      <w:r>
        <w:rPr>
          <w:rFonts w:hint="eastAsia" w:ascii="Times New Roman" w:hAnsi="Times New Roman"/>
          <w:bCs/>
          <w:sz w:val="24"/>
          <w:szCs w:val="24"/>
        </w:rPr>
        <w:t>第二章 董仲舒的天人相与说与儒学的神学化</w:t>
      </w:r>
    </w:p>
    <w:p>
      <w:pPr>
        <w:pStyle w:val="2"/>
        <w:snapToGrid w:val="0"/>
        <w:spacing w:before="120" w:beforeLines="50" w:after="120" w:afterLines="50" w:line="300" w:lineRule="auto"/>
        <w:ind w:firstLine="330" w:firstLineChars="150"/>
        <w:jc w:val="left"/>
        <w:rPr>
          <w:rFonts w:hint="eastAsia" w:ascii="Times New Roman" w:hAnsi="Times New Roman"/>
          <w:bCs/>
          <w:sz w:val="24"/>
          <w:szCs w:val="24"/>
        </w:rPr>
      </w:pPr>
      <w:r>
        <w:rPr>
          <w:rFonts w:hint="eastAsia" w:ascii="Times New Roman" w:hAnsi="Times New Roman"/>
          <w:bCs/>
          <w:sz w:val="22"/>
          <w:szCs w:val="24"/>
        </w:rPr>
        <w:t>★</w:t>
      </w:r>
      <w:r>
        <w:rPr>
          <w:rFonts w:hint="eastAsia" w:ascii="Times New Roman" w:hAnsi="Times New Roman"/>
          <w:bCs/>
          <w:sz w:val="24"/>
          <w:szCs w:val="24"/>
        </w:rPr>
        <w:t>第三章 王充的自然哲学</w:t>
      </w:r>
    </w:p>
    <w:p>
      <w:pPr>
        <w:pStyle w:val="2"/>
        <w:snapToGrid w:val="0"/>
        <w:spacing w:before="120" w:beforeLines="50" w:after="120" w:afterLines="50" w:line="300" w:lineRule="auto"/>
        <w:ind w:firstLine="330" w:firstLineChars="150"/>
        <w:jc w:val="left"/>
        <w:rPr>
          <w:rFonts w:hint="eastAsia" w:ascii="Times New Roman" w:hAnsi="Times New Roman"/>
          <w:bCs/>
          <w:sz w:val="24"/>
          <w:szCs w:val="24"/>
        </w:rPr>
      </w:pPr>
      <w:r>
        <w:rPr>
          <w:rFonts w:hint="eastAsia" w:ascii="Times New Roman" w:hAnsi="Times New Roman"/>
          <w:bCs/>
          <w:sz w:val="22"/>
          <w:szCs w:val="24"/>
        </w:rPr>
        <w:t xml:space="preserve">★ </w:t>
      </w:r>
      <w:r>
        <w:rPr>
          <w:rFonts w:hint="eastAsia" w:ascii="Times New Roman" w:hAnsi="Times New Roman"/>
          <w:bCs/>
          <w:sz w:val="24"/>
          <w:szCs w:val="24"/>
        </w:rPr>
        <w:t>第四章 道家的新发展与魏晋玄学</w:t>
      </w:r>
    </w:p>
    <w:p>
      <w:pPr>
        <w:pStyle w:val="2"/>
        <w:snapToGrid w:val="0"/>
        <w:spacing w:before="120" w:beforeLines="50" w:after="120" w:afterLines="50" w:line="300" w:lineRule="auto"/>
        <w:ind w:firstLine="720" w:firstLineChars="300"/>
        <w:jc w:val="left"/>
        <w:rPr>
          <w:rFonts w:hint="eastAsia" w:ascii="Times New Roman" w:hAnsi="Times New Roman"/>
          <w:bCs/>
          <w:sz w:val="24"/>
          <w:szCs w:val="24"/>
        </w:rPr>
      </w:pPr>
      <w:r>
        <w:rPr>
          <w:rFonts w:hint="eastAsia" w:ascii="Times New Roman" w:hAnsi="Times New Roman"/>
          <w:bCs/>
          <w:sz w:val="24"/>
          <w:szCs w:val="24"/>
        </w:rPr>
        <w:t>第五章 早期道教的神仙思想与丹道理论</w:t>
      </w:r>
    </w:p>
    <w:p>
      <w:pPr>
        <w:pStyle w:val="2"/>
        <w:snapToGrid w:val="0"/>
        <w:spacing w:before="120" w:beforeLines="50" w:after="120" w:afterLines="50" w:line="300" w:lineRule="auto"/>
        <w:ind w:firstLine="720" w:firstLineChars="300"/>
        <w:jc w:val="left"/>
        <w:rPr>
          <w:rFonts w:hint="eastAsia" w:ascii="Times New Roman" w:hAnsi="Times New Roman"/>
          <w:bCs/>
          <w:sz w:val="24"/>
          <w:szCs w:val="24"/>
        </w:rPr>
      </w:pPr>
      <w:r>
        <w:rPr>
          <w:rFonts w:hint="eastAsia" w:ascii="Times New Roman" w:hAnsi="Times New Roman"/>
          <w:bCs/>
          <w:sz w:val="24"/>
          <w:szCs w:val="24"/>
        </w:rPr>
        <w:t>第六章 佛教的传入与两晋南北朝的佛学源流</w:t>
      </w:r>
    </w:p>
    <w:p>
      <w:pPr>
        <w:pStyle w:val="2"/>
        <w:snapToGrid w:val="0"/>
        <w:spacing w:before="120" w:beforeLines="50" w:after="120" w:afterLines="50" w:line="300" w:lineRule="auto"/>
        <w:ind w:firstLine="720" w:firstLineChars="300"/>
        <w:jc w:val="left"/>
        <w:rPr>
          <w:rFonts w:hint="eastAsia" w:ascii="Times New Roman" w:hAnsi="Times New Roman"/>
          <w:bCs/>
          <w:sz w:val="24"/>
          <w:szCs w:val="24"/>
        </w:rPr>
      </w:pPr>
      <w:r>
        <w:rPr>
          <w:rFonts w:hint="eastAsia" w:ascii="Times New Roman" w:hAnsi="Times New Roman"/>
          <w:bCs/>
          <w:sz w:val="24"/>
          <w:szCs w:val="24"/>
        </w:rPr>
        <w:t>第七章 佛教的鼎盛与隋唐佛教哲学</w:t>
      </w:r>
    </w:p>
    <w:p>
      <w:pPr>
        <w:pStyle w:val="2"/>
        <w:snapToGrid w:val="0"/>
        <w:spacing w:before="120" w:beforeLines="50" w:after="120" w:afterLines="50" w:line="300" w:lineRule="auto"/>
        <w:ind w:firstLine="880" w:firstLineChars="400"/>
        <w:jc w:val="left"/>
        <w:rPr>
          <w:rFonts w:hint="eastAsia" w:ascii="Times New Roman" w:hAnsi="Times New Roman"/>
          <w:bCs/>
          <w:sz w:val="24"/>
          <w:szCs w:val="24"/>
        </w:rPr>
      </w:pPr>
      <w:r>
        <w:rPr>
          <w:rFonts w:hint="eastAsia" w:ascii="Times New Roman" w:hAnsi="Times New Roman"/>
          <w:bCs/>
          <w:sz w:val="22"/>
          <w:szCs w:val="24"/>
        </w:rPr>
        <w:t xml:space="preserve">★ </w:t>
      </w:r>
      <w:r>
        <w:rPr>
          <w:rFonts w:hint="eastAsia" w:ascii="Times New Roman" w:hAnsi="Times New Roman"/>
          <w:bCs/>
          <w:sz w:val="24"/>
          <w:szCs w:val="24"/>
        </w:rPr>
        <w:t>第四节 禅宗的顿悟成佛论</w:t>
      </w:r>
    </w:p>
    <w:p>
      <w:pPr>
        <w:pStyle w:val="2"/>
        <w:snapToGrid w:val="0"/>
        <w:spacing w:before="120" w:beforeLines="50" w:after="120" w:afterLines="50" w:line="300" w:lineRule="auto"/>
        <w:ind w:firstLine="880" w:firstLineChars="400"/>
        <w:jc w:val="left"/>
        <w:rPr>
          <w:rFonts w:hint="eastAsia" w:ascii="Times New Roman" w:hAnsi="Times New Roman"/>
          <w:bCs/>
          <w:sz w:val="24"/>
          <w:szCs w:val="24"/>
        </w:rPr>
      </w:pPr>
      <w:r>
        <w:rPr>
          <w:rFonts w:hint="eastAsia" w:ascii="Times New Roman" w:hAnsi="Times New Roman"/>
          <w:bCs/>
          <w:sz w:val="22"/>
          <w:szCs w:val="24"/>
        </w:rPr>
        <w:t xml:space="preserve">★ </w:t>
      </w:r>
      <w:r>
        <w:rPr>
          <w:rFonts w:hint="eastAsia" w:ascii="Times New Roman" w:hAnsi="Times New Roman"/>
          <w:bCs/>
          <w:sz w:val="24"/>
          <w:szCs w:val="24"/>
        </w:rPr>
        <w:t>第五节 佛教与中国本土文化的交融</w:t>
      </w:r>
    </w:p>
    <w:p>
      <w:pPr>
        <w:pStyle w:val="2"/>
        <w:snapToGrid w:val="0"/>
        <w:spacing w:before="120" w:beforeLines="50" w:after="120" w:afterLines="50" w:line="300" w:lineRule="auto"/>
        <w:ind w:firstLine="720" w:firstLineChars="300"/>
        <w:jc w:val="left"/>
        <w:rPr>
          <w:rFonts w:hint="eastAsia" w:ascii="Times New Roman" w:hAnsi="Times New Roman"/>
          <w:bCs/>
          <w:sz w:val="24"/>
          <w:szCs w:val="24"/>
        </w:rPr>
      </w:pPr>
      <w:r>
        <w:rPr>
          <w:rFonts w:hint="eastAsia" w:ascii="Times New Roman" w:hAnsi="Times New Roman"/>
          <w:bCs/>
          <w:sz w:val="24"/>
          <w:szCs w:val="24"/>
        </w:rPr>
        <w:t>第八章 道教的国教化与隋唐道教哲学</w:t>
      </w:r>
    </w:p>
    <w:p>
      <w:pPr>
        <w:pStyle w:val="2"/>
        <w:snapToGrid w:val="0"/>
        <w:spacing w:before="120" w:beforeLines="50" w:after="120" w:afterLines="50" w:line="300" w:lineRule="auto"/>
        <w:ind w:firstLine="720" w:firstLineChars="300"/>
        <w:jc w:val="left"/>
        <w:rPr>
          <w:rFonts w:hint="eastAsia" w:ascii="Times New Roman" w:hAnsi="Times New Roman"/>
          <w:bCs/>
          <w:sz w:val="24"/>
          <w:szCs w:val="24"/>
        </w:rPr>
      </w:pPr>
      <w:r>
        <w:rPr>
          <w:rFonts w:hint="eastAsia" w:ascii="Times New Roman" w:hAnsi="Times New Roman"/>
          <w:bCs/>
          <w:sz w:val="24"/>
          <w:szCs w:val="24"/>
        </w:rPr>
        <w:t>第九章 经学的重整与唐代儒家哲学</w:t>
      </w:r>
    </w:p>
    <w:p>
      <w:pPr>
        <w:pStyle w:val="2"/>
        <w:snapToGrid w:val="0"/>
        <w:spacing w:before="120" w:beforeLines="50" w:after="120" w:afterLines="50" w:line="300" w:lineRule="auto"/>
        <w:ind w:firstLine="880" w:firstLineChars="400"/>
        <w:jc w:val="left"/>
        <w:rPr>
          <w:rFonts w:hint="eastAsia" w:ascii="Times New Roman" w:hAnsi="Times New Roman"/>
          <w:bCs/>
          <w:sz w:val="24"/>
          <w:szCs w:val="24"/>
        </w:rPr>
      </w:pPr>
      <w:r>
        <w:rPr>
          <w:rFonts w:hint="eastAsia" w:ascii="Times New Roman" w:hAnsi="Times New Roman"/>
          <w:bCs/>
          <w:sz w:val="22"/>
          <w:szCs w:val="24"/>
        </w:rPr>
        <w:t xml:space="preserve">★ </w:t>
      </w:r>
      <w:r>
        <w:rPr>
          <w:rFonts w:hint="eastAsia" w:ascii="Times New Roman" w:hAnsi="Times New Roman"/>
          <w:bCs/>
          <w:sz w:val="24"/>
          <w:szCs w:val="24"/>
        </w:rPr>
        <w:t>第一节 儒学对佛学的回应与唐初经学的重整</w:t>
      </w:r>
    </w:p>
    <w:p>
      <w:pPr>
        <w:pStyle w:val="2"/>
        <w:snapToGrid w:val="0"/>
        <w:spacing w:before="120" w:beforeLines="50" w:after="120" w:afterLines="50" w:line="300" w:lineRule="auto"/>
        <w:ind w:firstLine="880" w:firstLineChars="400"/>
        <w:jc w:val="left"/>
        <w:rPr>
          <w:rFonts w:hint="eastAsia" w:ascii="Times New Roman" w:hAnsi="Times New Roman"/>
          <w:bCs/>
          <w:sz w:val="24"/>
          <w:szCs w:val="24"/>
        </w:rPr>
      </w:pPr>
      <w:r>
        <w:rPr>
          <w:rFonts w:hint="eastAsia" w:ascii="Times New Roman" w:hAnsi="Times New Roman"/>
          <w:bCs/>
          <w:sz w:val="22"/>
          <w:szCs w:val="24"/>
        </w:rPr>
        <w:t xml:space="preserve">★ </w:t>
      </w:r>
      <w:r>
        <w:rPr>
          <w:rFonts w:hint="eastAsia" w:ascii="Times New Roman" w:hAnsi="Times New Roman"/>
          <w:bCs/>
          <w:sz w:val="24"/>
          <w:szCs w:val="24"/>
        </w:rPr>
        <w:t>第二节 韩愈的道统论</w:t>
      </w:r>
    </w:p>
    <w:p>
      <w:pPr>
        <w:pStyle w:val="2"/>
        <w:numPr>
          <w:ilvl w:val="0"/>
          <w:numId w:val="2"/>
        </w:numPr>
        <w:snapToGrid w:val="0"/>
        <w:spacing w:before="120" w:beforeLines="50" w:after="120" w:afterLines="50" w:line="300" w:lineRule="auto"/>
        <w:jc w:val="left"/>
        <w:rPr>
          <w:rFonts w:ascii="Times New Roman" w:hAnsi="Times New Roman"/>
          <w:b/>
          <w:sz w:val="24"/>
          <w:szCs w:val="24"/>
        </w:rPr>
      </w:pPr>
      <w:r>
        <w:rPr>
          <w:rFonts w:hint="eastAsia" w:ascii="Times New Roman" w:hAnsi="Times New Roman"/>
          <w:b/>
          <w:sz w:val="24"/>
          <w:szCs w:val="24"/>
        </w:rPr>
        <w:t xml:space="preserve">北宋至明中叶时期的哲学 </w:t>
      </w:r>
      <w:r>
        <w:rPr>
          <w:rFonts w:hint="eastAsia" w:ascii="Times New Roman" w:hAnsi="Times New Roman"/>
          <w:bCs/>
          <w:sz w:val="22"/>
          <w:szCs w:val="24"/>
        </w:rPr>
        <w:t>★</w:t>
      </w:r>
    </w:p>
    <w:p>
      <w:pPr>
        <w:pStyle w:val="2"/>
        <w:snapToGrid w:val="0"/>
        <w:spacing w:before="120" w:beforeLines="50" w:after="120" w:afterLines="50" w:line="300" w:lineRule="auto"/>
        <w:ind w:firstLine="720" w:firstLineChars="300"/>
        <w:jc w:val="left"/>
        <w:rPr>
          <w:rFonts w:hint="eastAsia" w:ascii="Times New Roman" w:hAnsi="Times New Roman"/>
          <w:bCs/>
          <w:sz w:val="24"/>
          <w:szCs w:val="24"/>
        </w:rPr>
      </w:pPr>
      <w:r>
        <w:rPr>
          <w:rFonts w:hint="eastAsia" w:ascii="Times New Roman" w:hAnsi="Times New Roman"/>
          <w:bCs/>
          <w:sz w:val="24"/>
          <w:szCs w:val="24"/>
        </w:rPr>
        <w:t>第一章 道学初创</w:t>
      </w:r>
    </w:p>
    <w:p>
      <w:pPr>
        <w:pStyle w:val="2"/>
        <w:snapToGrid w:val="0"/>
        <w:spacing w:before="120" w:beforeLines="50" w:after="120" w:afterLines="50" w:line="300" w:lineRule="auto"/>
        <w:ind w:firstLine="440" w:firstLineChars="200"/>
        <w:jc w:val="left"/>
        <w:rPr>
          <w:rFonts w:hint="eastAsia" w:ascii="Times New Roman" w:hAnsi="Times New Roman"/>
          <w:bCs/>
          <w:sz w:val="24"/>
          <w:szCs w:val="24"/>
        </w:rPr>
      </w:pPr>
      <w:r>
        <w:rPr>
          <w:rFonts w:hint="eastAsia" w:ascii="Times New Roman" w:hAnsi="Times New Roman"/>
          <w:bCs/>
          <w:sz w:val="22"/>
          <w:szCs w:val="24"/>
        </w:rPr>
        <w:t xml:space="preserve">★ </w:t>
      </w:r>
      <w:r>
        <w:rPr>
          <w:rFonts w:hint="eastAsia" w:ascii="Times New Roman" w:hAnsi="Times New Roman"/>
          <w:bCs/>
          <w:sz w:val="24"/>
          <w:szCs w:val="24"/>
        </w:rPr>
        <w:t>第二章 张载的本体论与境界论</w:t>
      </w:r>
    </w:p>
    <w:p>
      <w:pPr>
        <w:pStyle w:val="2"/>
        <w:snapToGrid w:val="0"/>
        <w:spacing w:before="120" w:beforeLines="50" w:after="120" w:afterLines="50" w:line="300" w:lineRule="auto"/>
        <w:ind w:firstLine="440" w:firstLineChars="200"/>
        <w:jc w:val="left"/>
        <w:rPr>
          <w:rFonts w:hint="eastAsia" w:ascii="Times New Roman" w:hAnsi="Times New Roman"/>
          <w:bCs/>
          <w:sz w:val="24"/>
          <w:szCs w:val="24"/>
        </w:rPr>
      </w:pPr>
      <w:r>
        <w:rPr>
          <w:rFonts w:hint="eastAsia" w:ascii="Times New Roman" w:hAnsi="Times New Roman"/>
          <w:bCs/>
          <w:sz w:val="22"/>
          <w:szCs w:val="24"/>
        </w:rPr>
        <w:t xml:space="preserve">★ </w:t>
      </w:r>
      <w:r>
        <w:rPr>
          <w:rFonts w:hint="eastAsia" w:ascii="Times New Roman" w:hAnsi="Times New Roman"/>
          <w:bCs/>
          <w:sz w:val="24"/>
          <w:szCs w:val="24"/>
        </w:rPr>
        <w:t>第三章 程颢、程颐的“义理之学”</w:t>
      </w:r>
    </w:p>
    <w:p>
      <w:pPr>
        <w:pStyle w:val="2"/>
        <w:snapToGrid w:val="0"/>
        <w:spacing w:before="120" w:beforeLines="50" w:after="120" w:afterLines="50" w:line="300" w:lineRule="auto"/>
        <w:ind w:firstLine="440" w:firstLineChars="200"/>
        <w:jc w:val="left"/>
        <w:rPr>
          <w:rFonts w:hint="eastAsia" w:ascii="Times New Roman" w:hAnsi="Times New Roman"/>
          <w:bCs/>
          <w:sz w:val="24"/>
          <w:szCs w:val="24"/>
        </w:rPr>
      </w:pPr>
      <w:r>
        <w:rPr>
          <w:rFonts w:hint="eastAsia" w:ascii="Times New Roman" w:hAnsi="Times New Roman"/>
          <w:bCs/>
          <w:sz w:val="22"/>
          <w:szCs w:val="24"/>
        </w:rPr>
        <w:t xml:space="preserve">★ </w:t>
      </w:r>
      <w:r>
        <w:rPr>
          <w:rFonts w:hint="eastAsia" w:ascii="Times New Roman" w:hAnsi="Times New Roman"/>
          <w:bCs/>
          <w:sz w:val="24"/>
          <w:szCs w:val="24"/>
        </w:rPr>
        <w:t>第四章 朱熹的理学</w:t>
      </w:r>
    </w:p>
    <w:p>
      <w:pPr>
        <w:pStyle w:val="2"/>
        <w:snapToGrid w:val="0"/>
        <w:spacing w:before="120" w:beforeLines="50" w:after="120" w:afterLines="50" w:line="300" w:lineRule="auto"/>
        <w:ind w:firstLine="440" w:firstLineChars="200"/>
        <w:jc w:val="left"/>
        <w:rPr>
          <w:rFonts w:hint="eastAsia" w:ascii="Times New Roman" w:hAnsi="Times New Roman"/>
          <w:bCs/>
          <w:sz w:val="24"/>
          <w:szCs w:val="24"/>
        </w:rPr>
      </w:pPr>
      <w:r>
        <w:rPr>
          <w:rFonts w:hint="eastAsia" w:ascii="Times New Roman" w:hAnsi="Times New Roman"/>
          <w:bCs/>
          <w:sz w:val="22"/>
          <w:szCs w:val="24"/>
        </w:rPr>
        <w:t xml:space="preserve">★ </w:t>
      </w:r>
      <w:r>
        <w:rPr>
          <w:rFonts w:hint="eastAsia" w:ascii="Times New Roman" w:hAnsi="Times New Roman"/>
          <w:bCs/>
          <w:sz w:val="24"/>
          <w:szCs w:val="24"/>
        </w:rPr>
        <w:t>第五章 陆九渊的心学</w:t>
      </w:r>
    </w:p>
    <w:p>
      <w:pPr>
        <w:pStyle w:val="2"/>
        <w:snapToGrid w:val="0"/>
        <w:spacing w:before="120" w:beforeLines="50" w:after="120" w:afterLines="50" w:line="300" w:lineRule="auto"/>
        <w:ind w:firstLine="720" w:firstLineChars="300"/>
        <w:jc w:val="left"/>
        <w:rPr>
          <w:rFonts w:hint="eastAsia" w:ascii="Times New Roman" w:hAnsi="Times New Roman"/>
          <w:bCs/>
          <w:sz w:val="24"/>
          <w:szCs w:val="24"/>
        </w:rPr>
      </w:pPr>
      <w:r>
        <w:rPr>
          <w:rFonts w:hint="eastAsia" w:ascii="Times New Roman" w:hAnsi="Times New Roman"/>
          <w:bCs/>
          <w:sz w:val="24"/>
          <w:szCs w:val="24"/>
        </w:rPr>
        <w:t>第六章 陈亮、叶适的功利之学</w:t>
      </w:r>
    </w:p>
    <w:p>
      <w:pPr>
        <w:pStyle w:val="2"/>
        <w:snapToGrid w:val="0"/>
        <w:spacing w:before="120" w:beforeLines="50" w:after="120" w:afterLines="50" w:line="300" w:lineRule="auto"/>
        <w:ind w:firstLine="720" w:firstLineChars="300"/>
        <w:jc w:val="left"/>
        <w:rPr>
          <w:rFonts w:hint="eastAsia" w:ascii="Times New Roman" w:hAnsi="Times New Roman"/>
          <w:bCs/>
          <w:sz w:val="24"/>
          <w:szCs w:val="24"/>
        </w:rPr>
      </w:pPr>
      <w:r>
        <w:rPr>
          <w:rFonts w:hint="eastAsia" w:ascii="Times New Roman" w:hAnsi="Times New Roman"/>
          <w:bCs/>
          <w:sz w:val="24"/>
          <w:szCs w:val="24"/>
        </w:rPr>
        <w:t>第七章 陈献章、湛若水的心学思想</w:t>
      </w:r>
    </w:p>
    <w:p>
      <w:pPr>
        <w:pStyle w:val="2"/>
        <w:snapToGrid w:val="0"/>
        <w:spacing w:before="120" w:beforeLines="50" w:after="120" w:afterLines="50" w:line="300" w:lineRule="auto"/>
        <w:ind w:firstLine="440" w:firstLineChars="200"/>
        <w:jc w:val="left"/>
        <w:rPr>
          <w:rFonts w:hint="eastAsia" w:ascii="Times New Roman" w:hAnsi="Times New Roman"/>
          <w:bCs/>
          <w:sz w:val="24"/>
          <w:szCs w:val="24"/>
        </w:rPr>
      </w:pPr>
      <w:r>
        <w:rPr>
          <w:rFonts w:hint="eastAsia" w:ascii="Times New Roman" w:hAnsi="Times New Roman"/>
          <w:bCs/>
          <w:sz w:val="22"/>
          <w:szCs w:val="24"/>
        </w:rPr>
        <w:t xml:space="preserve">★ </w:t>
      </w:r>
      <w:r>
        <w:rPr>
          <w:rFonts w:hint="eastAsia" w:ascii="Times New Roman" w:hAnsi="Times New Roman"/>
          <w:bCs/>
          <w:sz w:val="24"/>
          <w:szCs w:val="24"/>
        </w:rPr>
        <w:t>第八章 王守仁的心学体系</w:t>
      </w:r>
    </w:p>
    <w:p>
      <w:pPr>
        <w:pStyle w:val="2"/>
        <w:snapToGrid w:val="0"/>
        <w:spacing w:before="120" w:beforeLines="50" w:after="120" w:afterLines="50" w:line="300" w:lineRule="auto"/>
        <w:ind w:firstLine="720" w:firstLineChars="300"/>
        <w:jc w:val="left"/>
        <w:rPr>
          <w:rFonts w:hint="eastAsia" w:ascii="Times New Roman" w:hAnsi="Times New Roman"/>
          <w:bCs/>
          <w:sz w:val="24"/>
          <w:szCs w:val="24"/>
        </w:rPr>
      </w:pPr>
      <w:r>
        <w:rPr>
          <w:rFonts w:hint="eastAsia" w:ascii="Times New Roman" w:hAnsi="Times New Roman"/>
          <w:bCs/>
          <w:sz w:val="24"/>
          <w:szCs w:val="24"/>
        </w:rPr>
        <w:t>第九章 罗钦顺、王廷相的气学</w:t>
      </w:r>
    </w:p>
    <w:p>
      <w:pPr>
        <w:pStyle w:val="2"/>
        <w:snapToGrid w:val="0"/>
        <w:spacing w:before="120" w:beforeLines="50" w:after="120" w:afterLines="50" w:line="300" w:lineRule="auto"/>
        <w:ind w:firstLine="720" w:firstLineChars="300"/>
        <w:jc w:val="left"/>
        <w:rPr>
          <w:rFonts w:hint="eastAsia" w:ascii="Times New Roman" w:hAnsi="Times New Roman"/>
          <w:bCs/>
          <w:sz w:val="24"/>
          <w:szCs w:val="24"/>
        </w:rPr>
      </w:pPr>
      <w:r>
        <w:rPr>
          <w:rFonts w:hint="eastAsia" w:ascii="Times New Roman" w:hAnsi="Times New Roman"/>
          <w:bCs/>
          <w:sz w:val="24"/>
          <w:szCs w:val="24"/>
        </w:rPr>
        <w:t>第十章 刘宗周对宋明理学的继承与总结</w:t>
      </w:r>
    </w:p>
    <w:p>
      <w:pPr>
        <w:pStyle w:val="2"/>
        <w:numPr>
          <w:ilvl w:val="0"/>
          <w:numId w:val="2"/>
        </w:numPr>
        <w:snapToGrid w:val="0"/>
        <w:spacing w:before="120" w:beforeLines="50" w:after="120" w:afterLines="50" w:line="300" w:lineRule="auto"/>
        <w:jc w:val="left"/>
        <w:rPr>
          <w:rFonts w:ascii="Times New Roman" w:hAnsi="Times New Roman"/>
          <w:b/>
          <w:sz w:val="24"/>
          <w:szCs w:val="24"/>
        </w:rPr>
      </w:pPr>
      <w:r>
        <w:rPr>
          <w:rFonts w:hint="eastAsia" w:ascii="Times New Roman" w:hAnsi="Times New Roman"/>
          <w:b/>
          <w:sz w:val="24"/>
          <w:szCs w:val="24"/>
        </w:rPr>
        <w:t>明中叶至鸦片战争时期的哲学</w:t>
      </w:r>
    </w:p>
    <w:p>
      <w:pPr>
        <w:pStyle w:val="2"/>
        <w:snapToGrid w:val="0"/>
        <w:spacing w:before="120" w:beforeLines="50" w:after="120" w:afterLines="50" w:line="300" w:lineRule="auto"/>
        <w:ind w:firstLine="440" w:firstLineChars="200"/>
        <w:jc w:val="left"/>
        <w:rPr>
          <w:rFonts w:hint="eastAsia" w:ascii="Times New Roman" w:hAnsi="Times New Roman"/>
          <w:bCs/>
          <w:sz w:val="24"/>
          <w:szCs w:val="24"/>
        </w:rPr>
      </w:pPr>
      <w:r>
        <w:rPr>
          <w:rFonts w:hint="eastAsia" w:ascii="Times New Roman" w:hAnsi="Times New Roman"/>
          <w:bCs/>
          <w:sz w:val="22"/>
          <w:szCs w:val="24"/>
        </w:rPr>
        <w:t>★</w:t>
      </w:r>
      <w:r>
        <w:rPr>
          <w:rFonts w:hint="eastAsia" w:ascii="Times New Roman" w:hAnsi="Times New Roman"/>
          <w:bCs/>
          <w:sz w:val="24"/>
          <w:szCs w:val="24"/>
        </w:rPr>
        <w:t>第一章 黄宗羲的哲学和社会政治思想</w:t>
      </w:r>
    </w:p>
    <w:p>
      <w:pPr>
        <w:pStyle w:val="2"/>
        <w:snapToGrid w:val="0"/>
        <w:spacing w:before="120" w:beforeLines="50" w:after="120" w:afterLines="50" w:line="300" w:lineRule="auto"/>
        <w:ind w:firstLine="440" w:firstLineChars="200"/>
        <w:jc w:val="left"/>
        <w:rPr>
          <w:rFonts w:hint="eastAsia" w:ascii="Times New Roman" w:hAnsi="Times New Roman"/>
          <w:bCs/>
          <w:sz w:val="24"/>
          <w:szCs w:val="24"/>
        </w:rPr>
      </w:pPr>
      <w:r>
        <w:rPr>
          <w:rFonts w:hint="eastAsia" w:ascii="Times New Roman" w:hAnsi="Times New Roman"/>
          <w:bCs/>
          <w:sz w:val="22"/>
          <w:szCs w:val="24"/>
        </w:rPr>
        <w:t>★</w:t>
      </w:r>
      <w:r>
        <w:rPr>
          <w:rFonts w:hint="eastAsia" w:ascii="Times New Roman" w:hAnsi="Times New Roman"/>
          <w:bCs/>
          <w:sz w:val="24"/>
          <w:szCs w:val="24"/>
        </w:rPr>
        <w:t>第二章 方以智的科学哲学思想</w:t>
      </w:r>
    </w:p>
    <w:p>
      <w:pPr>
        <w:pStyle w:val="2"/>
        <w:snapToGrid w:val="0"/>
        <w:spacing w:before="120" w:beforeLines="50" w:after="120" w:afterLines="50" w:line="300" w:lineRule="auto"/>
        <w:ind w:firstLine="440" w:firstLineChars="200"/>
        <w:jc w:val="left"/>
        <w:rPr>
          <w:rFonts w:hint="eastAsia" w:ascii="Times New Roman" w:hAnsi="Times New Roman"/>
          <w:bCs/>
          <w:sz w:val="24"/>
          <w:szCs w:val="24"/>
        </w:rPr>
      </w:pPr>
      <w:r>
        <w:rPr>
          <w:rFonts w:hint="eastAsia" w:ascii="Times New Roman" w:hAnsi="Times New Roman"/>
          <w:bCs/>
          <w:sz w:val="22"/>
          <w:szCs w:val="24"/>
        </w:rPr>
        <w:t>★</w:t>
      </w:r>
      <w:r>
        <w:rPr>
          <w:rFonts w:hint="eastAsia" w:ascii="Times New Roman" w:hAnsi="Times New Roman"/>
          <w:bCs/>
          <w:sz w:val="24"/>
          <w:szCs w:val="24"/>
        </w:rPr>
        <w:t>第三章 王夫之对宋明理学的总结</w:t>
      </w:r>
    </w:p>
    <w:p>
      <w:pPr>
        <w:pStyle w:val="2"/>
        <w:snapToGrid w:val="0"/>
        <w:spacing w:before="120" w:beforeLines="50" w:after="120" w:afterLines="50" w:line="300" w:lineRule="auto"/>
        <w:ind w:firstLine="720" w:firstLineChars="300"/>
        <w:jc w:val="left"/>
        <w:rPr>
          <w:rFonts w:hint="eastAsia" w:ascii="Times New Roman" w:hAnsi="Times New Roman"/>
          <w:bCs/>
          <w:sz w:val="24"/>
          <w:szCs w:val="24"/>
        </w:rPr>
      </w:pPr>
      <w:r>
        <w:rPr>
          <w:rFonts w:hint="eastAsia" w:ascii="Times New Roman" w:hAnsi="Times New Roman"/>
          <w:bCs/>
          <w:sz w:val="24"/>
          <w:szCs w:val="24"/>
        </w:rPr>
        <w:t>第四章 颜元、李塨与实学学派</w:t>
      </w:r>
    </w:p>
    <w:p>
      <w:pPr>
        <w:pStyle w:val="2"/>
        <w:snapToGrid w:val="0"/>
        <w:spacing w:before="120" w:beforeLines="50" w:after="120" w:afterLines="50" w:line="300" w:lineRule="auto"/>
        <w:ind w:firstLine="440" w:firstLineChars="200"/>
        <w:jc w:val="left"/>
        <w:rPr>
          <w:rFonts w:hint="eastAsia" w:ascii="Times New Roman" w:hAnsi="Times New Roman"/>
          <w:bCs/>
          <w:sz w:val="24"/>
          <w:szCs w:val="24"/>
        </w:rPr>
      </w:pPr>
      <w:r>
        <w:rPr>
          <w:rFonts w:hint="eastAsia" w:ascii="Times New Roman" w:hAnsi="Times New Roman"/>
          <w:bCs/>
          <w:sz w:val="22"/>
          <w:szCs w:val="24"/>
        </w:rPr>
        <w:t xml:space="preserve">★ </w:t>
      </w:r>
      <w:r>
        <w:rPr>
          <w:rFonts w:hint="eastAsia" w:ascii="Times New Roman" w:hAnsi="Times New Roman"/>
          <w:bCs/>
          <w:sz w:val="24"/>
          <w:szCs w:val="24"/>
        </w:rPr>
        <w:t>第五章 戴震的哲学倾向</w:t>
      </w:r>
    </w:p>
    <w:p>
      <w:pPr>
        <w:pStyle w:val="2"/>
        <w:snapToGrid w:val="0"/>
        <w:spacing w:before="120" w:beforeLines="50" w:after="120" w:afterLines="50" w:line="300" w:lineRule="auto"/>
        <w:jc w:val="left"/>
        <w:rPr>
          <w:rFonts w:hint="eastAsia" w:ascii="Times New Roman" w:hAnsi="Times New Roman"/>
          <w:b/>
          <w:sz w:val="24"/>
          <w:szCs w:val="24"/>
        </w:rPr>
      </w:pPr>
    </w:p>
    <w:p>
      <w:pPr>
        <w:pStyle w:val="2"/>
        <w:snapToGrid w:val="0"/>
        <w:spacing w:before="120" w:beforeLines="50" w:after="120" w:afterLines="50" w:line="300" w:lineRule="auto"/>
        <w:jc w:val="left"/>
        <w:rPr>
          <w:rFonts w:hint="eastAsia" w:ascii="Times New Roman" w:hAnsi="Times New Roman"/>
          <w:b/>
          <w:sz w:val="24"/>
          <w:szCs w:val="24"/>
        </w:rPr>
      </w:pPr>
      <w:r>
        <w:rPr>
          <w:rFonts w:hint="eastAsia" w:ascii="Times New Roman" w:hAnsi="Times New Roman"/>
          <w:b/>
          <w:sz w:val="24"/>
          <w:szCs w:val="24"/>
        </w:rPr>
        <w:t>第五篇 近代中国（鸦片战争至中华人民共和国成立）的哲学发展</w:t>
      </w:r>
    </w:p>
    <w:p>
      <w:pPr>
        <w:pStyle w:val="2"/>
        <w:snapToGrid w:val="0"/>
        <w:spacing w:before="120" w:beforeLines="50" w:after="120" w:afterLines="50" w:line="300" w:lineRule="auto"/>
        <w:ind w:firstLine="720" w:firstLineChars="300"/>
        <w:jc w:val="left"/>
        <w:rPr>
          <w:rFonts w:hint="eastAsia" w:ascii="Times New Roman" w:hAnsi="Times New Roman"/>
          <w:bCs/>
          <w:sz w:val="24"/>
          <w:szCs w:val="24"/>
        </w:rPr>
      </w:pPr>
      <w:r>
        <w:rPr>
          <w:rFonts w:hint="eastAsia" w:ascii="Times New Roman" w:hAnsi="Times New Roman"/>
          <w:bCs/>
          <w:sz w:val="24"/>
          <w:szCs w:val="24"/>
        </w:rPr>
        <w:t>第一章 鸦片战争以后的社会变革思潮</w:t>
      </w:r>
    </w:p>
    <w:p>
      <w:pPr>
        <w:pStyle w:val="2"/>
        <w:snapToGrid w:val="0"/>
        <w:spacing w:before="120" w:beforeLines="50" w:after="120" w:afterLines="50" w:line="300" w:lineRule="auto"/>
        <w:ind w:firstLine="720" w:firstLineChars="300"/>
        <w:jc w:val="left"/>
        <w:rPr>
          <w:rFonts w:hint="eastAsia" w:ascii="Times New Roman" w:hAnsi="Times New Roman"/>
          <w:bCs/>
          <w:sz w:val="24"/>
          <w:szCs w:val="24"/>
        </w:rPr>
      </w:pPr>
      <w:r>
        <w:rPr>
          <w:rFonts w:hint="eastAsia" w:ascii="Times New Roman" w:hAnsi="Times New Roman"/>
          <w:bCs/>
          <w:sz w:val="24"/>
          <w:szCs w:val="24"/>
        </w:rPr>
        <w:t>第二章 戊戌维新运动中的哲学启蒙</w:t>
      </w:r>
    </w:p>
    <w:p>
      <w:pPr>
        <w:pStyle w:val="2"/>
        <w:snapToGrid w:val="0"/>
        <w:spacing w:before="120" w:beforeLines="50" w:after="120" w:afterLines="50" w:line="300" w:lineRule="auto"/>
        <w:ind w:firstLine="720" w:firstLineChars="300"/>
        <w:jc w:val="left"/>
        <w:rPr>
          <w:rFonts w:hint="eastAsia" w:ascii="Times New Roman" w:hAnsi="Times New Roman"/>
          <w:bCs/>
          <w:sz w:val="24"/>
          <w:szCs w:val="24"/>
        </w:rPr>
      </w:pPr>
      <w:r>
        <w:rPr>
          <w:rFonts w:hint="eastAsia" w:ascii="Times New Roman" w:hAnsi="Times New Roman"/>
          <w:bCs/>
          <w:sz w:val="24"/>
          <w:szCs w:val="24"/>
        </w:rPr>
        <w:t>第三章 辛亥革命前后的哲学思想</w:t>
      </w:r>
    </w:p>
    <w:p>
      <w:pPr>
        <w:pStyle w:val="2"/>
        <w:snapToGrid w:val="0"/>
        <w:spacing w:before="120" w:beforeLines="50" w:after="120" w:afterLines="50" w:line="300" w:lineRule="auto"/>
        <w:ind w:firstLine="550" w:firstLineChars="250"/>
        <w:jc w:val="left"/>
        <w:rPr>
          <w:rFonts w:hint="eastAsia" w:ascii="Times New Roman" w:hAnsi="Times New Roman"/>
          <w:bCs/>
          <w:sz w:val="24"/>
          <w:szCs w:val="24"/>
        </w:rPr>
      </w:pPr>
      <w:r>
        <w:rPr>
          <w:rFonts w:hint="eastAsia" w:ascii="Times New Roman" w:hAnsi="Times New Roman"/>
          <w:bCs/>
          <w:sz w:val="22"/>
          <w:szCs w:val="24"/>
        </w:rPr>
        <w:t xml:space="preserve">★ </w:t>
      </w:r>
      <w:r>
        <w:rPr>
          <w:rFonts w:hint="eastAsia" w:ascii="Times New Roman" w:hAnsi="Times New Roman"/>
          <w:bCs/>
          <w:sz w:val="24"/>
          <w:szCs w:val="24"/>
        </w:rPr>
        <w:t>第四章 新文化运动与中西古今哲学的融合</w:t>
      </w:r>
    </w:p>
    <w:p>
      <w:pPr>
        <w:pStyle w:val="2"/>
        <w:snapToGrid w:val="0"/>
        <w:spacing w:before="120" w:beforeLines="50" w:after="120" w:afterLines="50" w:line="300" w:lineRule="auto"/>
        <w:ind w:firstLine="550" w:firstLineChars="250"/>
        <w:jc w:val="left"/>
        <w:rPr>
          <w:rFonts w:hint="eastAsia" w:ascii="Times New Roman" w:hAnsi="Times New Roman"/>
          <w:bCs/>
          <w:sz w:val="24"/>
          <w:szCs w:val="24"/>
        </w:rPr>
      </w:pPr>
      <w:r>
        <w:rPr>
          <w:rFonts w:hint="eastAsia" w:ascii="Times New Roman" w:hAnsi="Times New Roman"/>
          <w:bCs/>
          <w:sz w:val="22"/>
          <w:szCs w:val="24"/>
        </w:rPr>
        <w:t xml:space="preserve">★ </w:t>
      </w:r>
      <w:r>
        <w:rPr>
          <w:rFonts w:hint="eastAsia" w:ascii="Times New Roman" w:hAnsi="Times New Roman"/>
          <w:bCs/>
          <w:sz w:val="24"/>
          <w:szCs w:val="24"/>
        </w:rPr>
        <w:t>第五章 马克思主义哲学在中国的传播与发展</w:t>
      </w:r>
    </w:p>
    <w:p>
      <w:pPr>
        <w:pStyle w:val="2"/>
        <w:snapToGrid w:val="0"/>
        <w:spacing w:before="120" w:beforeLines="50" w:after="120" w:afterLines="50" w:line="300" w:lineRule="auto"/>
        <w:ind w:firstLine="480" w:firstLineChars="200"/>
        <w:jc w:val="left"/>
        <w:rPr>
          <w:rFonts w:hint="eastAsia" w:ascii="Times New Roman" w:hAnsi="Times New Roman"/>
          <w:bCs/>
          <w:sz w:val="24"/>
          <w:szCs w:val="24"/>
        </w:rPr>
      </w:pPr>
    </w:p>
    <w:p>
      <w:pPr>
        <w:pStyle w:val="2"/>
        <w:numPr>
          <w:ilvl w:val="0"/>
          <w:numId w:val="1"/>
        </w:numPr>
        <w:snapToGrid w:val="0"/>
        <w:spacing w:before="120" w:beforeLines="50" w:after="120" w:afterLines="50" w:line="300" w:lineRule="auto"/>
        <w:jc w:val="left"/>
        <w:rPr>
          <w:rFonts w:ascii="Times New Roman" w:hAnsi="Times New Roman"/>
          <w:b/>
          <w:sz w:val="28"/>
          <w:szCs w:val="28"/>
        </w:rPr>
      </w:pPr>
      <w:r>
        <w:rPr>
          <w:rFonts w:ascii="Times New Roman" w:hAnsi="Times New Roman"/>
          <w:b/>
          <w:sz w:val="28"/>
          <w:szCs w:val="28"/>
        </w:rPr>
        <w:t>考试要求</w:t>
      </w:r>
    </w:p>
    <w:p>
      <w:pPr>
        <w:pStyle w:val="9"/>
        <w:spacing w:line="360" w:lineRule="auto"/>
        <w:ind w:firstLine="560"/>
        <w:rPr>
          <w:rFonts w:hint="eastAsia"/>
          <w:bCs/>
          <w:sz w:val="28"/>
          <w:szCs w:val="28"/>
        </w:rPr>
      </w:pPr>
      <w:r>
        <w:rPr>
          <w:rFonts w:hint="eastAsia"/>
          <w:bCs/>
          <w:sz w:val="28"/>
          <w:szCs w:val="28"/>
        </w:rPr>
        <w:t>要求考生全面掌握中国哲学史每一历史时期各哲学学派和哲学思潮及其代表人物思想，了解中国哲学发展的基本脉络，熟悉中华人文精神和中国哲学的特点，在掌握基本概念、知识点基础上重点把握中国哲学整体性、规律性问题。</w:t>
      </w:r>
    </w:p>
    <w:p>
      <w:pPr>
        <w:pStyle w:val="2"/>
        <w:numPr>
          <w:ilvl w:val="0"/>
          <w:numId w:val="1"/>
        </w:numPr>
        <w:snapToGrid w:val="0"/>
        <w:spacing w:before="120" w:beforeLines="50" w:after="120" w:afterLines="50" w:line="300" w:lineRule="auto"/>
        <w:jc w:val="left"/>
        <w:rPr>
          <w:rFonts w:ascii="Times New Roman" w:hAnsi="Times New Roman"/>
          <w:b/>
          <w:sz w:val="28"/>
          <w:szCs w:val="28"/>
        </w:rPr>
      </w:pPr>
      <w:r>
        <w:rPr>
          <w:rFonts w:ascii="Times New Roman" w:hAnsi="Times New Roman"/>
          <w:b/>
          <w:sz w:val="28"/>
          <w:szCs w:val="28"/>
        </w:rPr>
        <w:t>试题结构</w:t>
      </w:r>
    </w:p>
    <w:p>
      <w:pPr>
        <w:pStyle w:val="2"/>
        <w:snapToGrid w:val="0"/>
        <w:spacing w:line="300" w:lineRule="auto"/>
        <w:ind w:firstLine="480" w:firstLineChars="200"/>
        <w:jc w:val="left"/>
        <w:rPr>
          <w:rFonts w:hint="eastAsia"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名词解释</w:t>
      </w:r>
      <w:r>
        <w:rPr>
          <w:rFonts w:ascii="Times New Roman" w:hAnsi="Times New Roman"/>
          <w:sz w:val="24"/>
          <w:szCs w:val="24"/>
        </w:rPr>
        <w:t>（约占</w:t>
      </w:r>
      <w:r>
        <w:rPr>
          <w:rFonts w:hint="eastAsia" w:ascii="Times New Roman" w:hAnsi="Times New Roman"/>
          <w:sz w:val="24"/>
          <w:szCs w:val="24"/>
        </w:rPr>
        <w:t>30分</w:t>
      </w:r>
      <w:r>
        <w:rPr>
          <w:rFonts w:ascii="Times New Roman" w:hAnsi="Times New Roman"/>
          <w:sz w:val="24"/>
          <w:szCs w:val="24"/>
        </w:rPr>
        <w:t>）</w:t>
      </w:r>
    </w:p>
    <w:p>
      <w:pPr>
        <w:pStyle w:val="2"/>
        <w:snapToGrid w:val="0"/>
        <w:spacing w:line="300" w:lineRule="auto"/>
        <w:ind w:firstLine="480" w:firstLineChars="200"/>
        <w:jc w:val="left"/>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简答题</w:t>
      </w:r>
      <w:r>
        <w:rPr>
          <w:rFonts w:ascii="Times New Roman" w:hAnsi="Times New Roman"/>
          <w:sz w:val="24"/>
          <w:szCs w:val="24"/>
        </w:rPr>
        <w:t>（约占</w:t>
      </w:r>
      <w:r>
        <w:rPr>
          <w:rFonts w:hint="eastAsia" w:ascii="Times New Roman" w:hAnsi="Times New Roman"/>
          <w:sz w:val="24"/>
          <w:szCs w:val="24"/>
        </w:rPr>
        <w:t>60分</w:t>
      </w:r>
      <w:r>
        <w:rPr>
          <w:rFonts w:ascii="Times New Roman" w:hAnsi="Times New Roman"/>
          <w:sz w:val="24"/>
          <w:szCs w:val="24"/>
        </w:rPr>
        <w:t>)</w:t>
      </w:r>
      <w:r>
        <w:rPr>
          <w:rFonts w:hint="eastAsia" w:ascii="Times New Roman" w:hAnsi="Times New Roman"/>
          <w:sz w:val="24"/>
          <w:szCs w:val="24"/>
        </w:rPr>
        <w:t xml:space="preserve">    </w:t>
      </w:r>
    </w:p>
    <w:p>
      <w:pPr>
        <w:pStyle w:val="2"/>
        <w:snapToGrid w:val="0"/>
        <w:spacing w:line="300" w:lineRule="auto"/>
        <w:ind w:firstLine="480" w:firstLineChars="200"/>
        <w:jc w:val="left"/>
        <w:rPr>
          <w:rFonts w:hint="eastAsia" w:ascii="Times New Roman" w:hAnsi="Times New Roman"/>
          <w:sz w:val="24"/>
          <w:szCs w:val="24"/>
        </w:rPr>
      </w:pPr>
      <w:r>
        <w:rPr>
          <w:rFonts w:ascii="Times New Roman" w:hAnsi="Times New Roman"/>
          <w:sz w:val="24"/>
          <w:szCs w:val="24"/>
        </w:rPr>
        <w:t>3、论述题（约占</w:t>
      </w:r>
      <w:r>
        <w:rPr>
          <w:rFonts w:hint="eastAsia" w:ascii="Times New Roman" w:hAnsi="Times New Roman"/>
          <w:sz w:val="24"/>
          <w:szCs w:val="24"/>
        </w:rPr>
        <w:t>60分</w:t>
      </w:r>
      <w:r>
        <w:rPr>
          <w:rFonts w:ascii="Times New Roman" w:hAnsi="Times New Roman"/>
          <w:sz w:val="24"/>
          <w:szCs w:val="24"/>
        </w:rPr>
        <w:t>）</w:t>
      </w:r>
    </w:p>
    <w:p>
      <w:pPr>
        <w:pStyle w:val="2"/>
        <w:numPr>
          <w:ilvl w:val="0"/>
          <w:numId w:val="1"/>
        </w:numPr>
        <w:snapToGrid w:val="0"/>
        <w:spacing w:before="120" w:beforeLines="50" w:after="120" w:afterLines="50" w:line="300" w:lineRule="auto"/>
        <w:jc w:val="left"/>
        <w:rPr>
          <w:rFonts w:ascii="Times New Roman" w:hAnsi="Times New Roman"/>
          <w:b/>
          <w:sz w:val="28"/>
          <w:szCs w:val="28"/>
        </w:rPr>
      </w:pPr>
      <w:r>
        <w:rPr>
          <w:rFonts w:ascii="Times New Roman" w:hAnsi="Times New Roman"/>
          <w:b/>
          <w:sz w:val="28"/>
          <w:szCs w:val="28"/>
        </w:rPr>
        <w:t>考试方式及时间</w:t>
      </w:r>
    </w:p>
    <w:p>
      <w:pPr>
        <w:pStyle w:val="2"/>
        <w:snapToGrid w:val="0"/>
        <w:spacing w:line="300" w:lineRule="auto"/>
        <w:ind w:firstLine="480" w:firstLineChars="200"/>
        <w:jc w:val="left"/>
        <w:rPr>
          <w:rFonts w:ascii="Times New Roman" w:hAnsi="Times New Roman"/>
          <w:sz w:val="24"/>
          <w:szCs w:val="24"/>
        </w:rPr>
      </w:pPr>
      <w:r>
        <w:rPr>
          <w:rFonts w:ascii="Times New Roman" w:hAnsi="Times New Roman"/>
          <w:sz w:val="24"/>
          <w:szCs w:val="24"/>
        </w:rPr>
        <w:t>考试方式为闭卷、笔试，时间为3小时，满分为1</w:t>
      </w:r>
      <w:r>
        <w:rPr>
          <w:rFonts w:hint="eastAsia" w:ascii="Times New Roman" w:hAnsi="Times New Roman"/>
          <w:sz w:val="24"/>
          <w:szCs w:val="24"/>
        </w:rPr>
        <w:t>5</w:t>
      </w:r>
      <w:r>
        <w:rPr>
          <w:rFonts w:ascii="Times New Roman" w:hAnsi="Times New Roman"/>
          <w:sz w:val="24"/>
          <w:szCs w:val="24"/>
        </w:rPr>
        <w:t>0分。</w:t>
      </w:r>
    </w:p>
    <w:p>
      <w:pPr>
        <w:pStyle w:val="2"/>
        <w:snapToGrid w:val="0"/>
        <w:spacing w:line="300" w:lineRule="auto"/>
        <w:ind w:firstLine="480" w:firstLineChars="200"/>
        <w:jc w:val="left"/>
        <w:rPr>
          <w:rFonts w:ascii="Times New Roman" w:hAnsi="Times New Roman"/>
          <w:sz w:val="24"/>
          <w:szCs w:val="24"/>
        </w:rPr>
      </w:pPr>
    </w:p>
    <w:p>
      <w:pPr>
        <w:pStyle w:val="2"/>
        <w:numPr>
          <w:ilvl w:val="0"/>
          <w:numId w:val="1"/>
        </w:numPr>
        <w:snapToGrid w:val="0"/>
        <w:spacing w:before="120" w:beforeLines="50" w:after="120" w:afterLines="50" w:line="300" w:lineRule="auto"/>
        <w:jc w:val="left"/>
        <w:rPr>
          <w:rFonts w:ascii="Times New Roman" w:hAnsi="Times New Roman"/>
          <w:b/>
          <w:sz w:val="28"/>
          <w:szCs w:val="28"/>
        </w:rPr>
      </w:pPr>
      <w:r>
        <w:rPr>
          <w:rFonts w:ascii="Times New Roman" w:hAnsi="Times New Roman"/>
          <w:b/>
          <w:sz w:val="28"/>
          <w:szCs w:val="28"/>
        </w:rPr>
        <w:t>主要参考书</w:t>
      </w:r>
    </w:p>
    <w:p>
      <w:pPr>
        <w:pStyle w:val="2"/>
        <w:snapToGrid w:val="0"/>
        <w:spacing w:line="300" w:lineRule="auto"/>
        <w:ind w:firstLine="480" w:firstLineChars="200"/>
        <w:jc w:val="left"/>
        <w:rPr>
          <w:rFonts w:ascii="Times New Roman" w:hAnsi="Times New Roman"/>
          <w:sz w:val="24"/>
          <w:szCs w:val="24"/>
        </w:rPr>
      </w:pPr>
      <w:r>
        <w:rPr>
          <w:rFonts w:hint="eastAsia" w:ascii="Times New Roman" w:hAnsi="Times New Roman"/>
          <w:sz w:val="24"/>
          <w:szCs w:val="24"/>
        </w:rPr>
        <w:t>冯达文、郭齐勇《新编中国哲学史》（上下册），人民出版社，2004年。</w:t>
      </w:r>
    </w:p>
    <w:p>
      <w:pPr>
        <w:pStyle w:val="2"/>
        <w:snapToGrid w:val="0"/>
        <w:spacing w:line="300" w:lineRule="auto"/>
        <w:ind w:firstLine="480" w:firstLineChars="200"/>
        <w:jc w:val="left"/>
        <w:rPr>
          <w:rFonts w:ascii="Times New Roman" w:hAnsi="Times New Roman"/>
          <w:sz w:val="24"/>
          <w:szCs w:val="24"/>
        </w:rPr>
      </w:pPr>
    </w:p>
    <w:sectPr>
      <w:pgSz w:w="12240" w:h="15840"/>
      <w:pgMar w:top="1418" w:right="1134" w:bottom="1440" w:left="141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等线 Light">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334569"/>
    <w:multiLevelType w:val="multilevel"/>
    <w:tmpl w:val="3B334569"/>
    <w:lvl w:ilvl="0" w:tentative="0">
      <w:start w:val="1"/>
      <w:numFmt w:val="chineseCountingThousand"/>
      <w:lvlText w:val="%1、"/>
      <w:lvlJc w:val="left"/>
      <w:pPr>
        <w:tabs>
          <w:tab w:val="left" w:pos="720"/>
        </w:tabs>
        <w:ind w:left="720" w:hanging="720"/>
      </w:pPr>
      <w:rPr>
        <w:rFonts w:hint="eastAsia"/>
      </w:rPr>
    </w:lvl>
    <w:lvl w:ilvl="1" w:tentative="0">
      <w:start w:val="1"/>
      <w:numFmt w:val="decimal"/>
      <w:lvlText w:val="%2、"/>
      <w:lvlJc w:val="left"/>
      <w:pPr>
        <w:tabs>
          <w:tab w:val="left" w:pos="840"/>
        </w:tabs>
        <w:ind w:left="840" w:hanging="420"/>
      </w:pPr>
      <w:rPr>
        <w:rFonts w:ascii="Times New Roman" w:hAnsi="Times New Roman" w:eastAsia="Times New Roman" w:cs="Times New Roman"/>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4E142846"/>
    <w:multiLevelType w:val="multilevel"/>
    <w:tmpl w:val="4E142846"/>
    <w:lvl w:ilvl="0" w:tentative="0">
      <w:start w:val="1"/>
      <w:numFmt w:val="japaneseCounting"/>
      <w:lvlText w:val="第%1篇"/>
      <w:lvlJc w:val="left"/>
      <w:pPr>
        <w:ind w:left="984" w:hanging="984"/>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79"/>
    <w:rsid w:val="000014D5"/>
    <w:rsid w:val="00011ADC"/>
    <w:rsid w:val="00021F1E"/>
    <w:rsid w:val="000352CB"/>
    <w:rsid w:val="000440E5"/>
    <w:rsid w:val="00064330"/>
    <w:rsid w:val="00066BB5"/>
    <w:rsid w:val="00072D6A"/>
    <w:rsid w:val="000741E5"/>
    <w:rsid w:val="00087EEA"/>
    <w:rsid w:val="0009290A"/>
    <w:rsid w:val="000A1215"/>
    <w:rsid w:val="000B0F52"/>
    <w:rsid w:val="000D0E7A"/>
    <w:rsid w:val="000D2BB0"/>
    <w:rsid w:val="000E117C"/>
    <w:rsid w:val="00111C29"/>
    <w:rsid w:val="001137C8"/>
    <w:rsid w:val="001173D8"/>
    <w:rsid w:val="00157FE4"/>
    <w:rsid w:val="001709DF"/>
    <w:rsid w:val="0017141E"/>
    <w:rsid w:val="00171E64"/>
    <w:rsid w:val="0018358A"/>
    <w:rsid w:val="00191184"/>
    <w:rsid w:val="001A7390"/>
    <w:rsid w:val="001B40DD"/>
    <w:rsid w:val="001C3764"/>
    <w:rsid w:val="001D25F3"/>
    <w:rsid w:val="001E7FA3"/>
    <w:rsid w:val="001F7166"/>
    <w:rsid w:val="00205D70"/>
    <w:rsid w:val="002453E7"/>
    <w:rsid w:val="002502DD"/>
    <w:rsid w:val="0025536B"/>
    <w:rsid w:val="0026116E"/>
    <w:rsid w:val="0028628F"/>
    <w:rsid w:val="00297237"/>
    <w:rsid w:val="002A03F2"/>
    <w:rsid w:val="002E4861"/>
    <w:rsid w:val="00306B54"/>
    <w:rsid w:val="00306B67"/>
    <w:rsid w:val="00310DB6"/>
    <w:rsid w:val="003162FB"/>
    <w:rsid w:val="00321499"/>
    <w:rsid w:val="00331D58"/>
    <w:rsid w:val="00332C21"/>
    <w:rsid w:val="0033635A"/>
    <w:rsid w:val="00337B57"/>
    <w:rsid w:val="003654D3"/>
    <w:rsid w:val="00380F75"/>
    <w:rsid w:val="00384901"/>
    <w:rsid w:val="003B4044"/>
    <w:rsid w:val="003C3B96"/>
    <w:rsid w:val="003C4F49"/>
    <w:rsid w:val="003D0ED0"/>
    <w:rsid w:val="003F23C0"/>
    <w:rsid w:val="00403D88"/>
    <w:rsid w:val="00407C33"/>
    <w:rsid w:val="00436997"/>
    <w:rsid w:val="004443B5"/>
    <w:rsid w:val="00465667"/>
    <w:rsid w:val="0046746D"/>
    <w:rsid w:val="00483F78"/>
    <w:rsid w:val="004A4271"/>
    <w:rsid w:val="004C2BDE"/>
    <w:rsid w:val="004D1A6D"/>
    <w:rsid w:val="004D38F1"/>
    <w:rsid w:val="004E4092"/>
    <w:rsid w:val="004F10BD"/>
    <w:rsid w:val="004F2454"/>
    <w:rsid w:val="005105D8"/>
    <w:rsid w:val="005126AC"/>
    <w:rsid w:val="00517B79"/>
    <w:rsid w:val="00591AED"/>
    <w:rsid w:val="005A5E11"/>
    <w:rsid w:val="005C4597"/>
    <w:rsid w:val="005F0537"/>
    <w:rsid w:val="00615C74"/>
    <w:rsid w:val="00632047"/>
    <w:rsid w:val="006323F5"/>
    <w:rsid w:val="00634C59"/>
    <w:rsid w:val="0065151E"/>
    <w:rsid w:val="00654DC6"/>
    <w:rsid w:val="00675659"/>
    <w:rsid w:val="006E6F6C"/>
    <w:rsid w:val="006F5D94"/>
    <w:rsid w:val="007035F0"/>
    <w:rsid w:val="00706BDE"/>
    <w:rsid w:val="0072364C"/>
    <w:rsid w:val="00732B99"/>
    <w:rsid w:val="007616C6"/>
    <w:rsid w:val="00763BEB"/>
    <w:rsid w:val="00783F86"/>
    <w:rsid w:val="0078795E"/>
    <w:rsid w:val="007A107C"/>
    <w:rsid w:val="007A4B12"/>
    <w:rsid w:val="007B04E7"/>
    <w:rsid w:val="007B402D"/>
    <w:rsid w:val="007B45BF"/>
    <w:rsid w:val="007B502D"/>
    <w:rsid w:val="007C1C12"/>
    <w:rsid w:val="007C7ADB"/>
    <w:rsid w:val="007C7B67"/>
    <w:rsid w:val="00815FB8"/>
    <w:rsid w:val="00823EF0"/>
    <w:rsid w:val="00827435"/>
    <w:rsid w:val="00842AF6"/>
    <w:rsid w:val="008521AB"/>
    <w:rsid w:val="00882579"/>
    <w:rsid w:val="00883FA6"/>
    <w:rsid w:val="008A7122"/>
    <w:rsid w:val="008E47B7"/>
    <w:rsid w:val="008F779F"/>
    <w:rsid w:val="00906B85"/>
    <w:rsid w:val="00911C00"/>
    <w:rsid w:val="0091308A"/>
    <w:rsid w:val="00943C07"/>
    <w:rsid w:val="00943FA2"/>
    <w:rsid w:val="009469AD"/>
    <w:rsid w:val="00974A0E"/>
    <w:rsid w:val="0097556E"/>
    <w:rsid w:val="00980F6B"/>
    <w:rsid w:val="009A31B2"/>
    <w:rsid w:val="009C1FA0"/>
    <w:rsid w:val="009E67B1"/>
    <w:rsid w:val="009E7D55"/>
    <w:rsid w:val="00A0221A"/>
    <w:rsid w:val="00A0580C"/>
    <w:rsid w:val="00A20384"/>
    <w:rsid w:val="00A21E48"/>
    <w:rsid w:val="00A611AF"/>
    <w:rsid w:val="00A66E0D"/>
    <w:rsid w:val="00A817EE"/>
    <w:rsid w:val="00A83E6A"/>
    <w:rsid w:val="00A84E9C"/>
    <w:rsid w:val="00A9153A"/>
    <w:rsid w:val="00A9799F"/>
    <w:rsid w:val="00AA30CE"/>
    <w:rsid w:val="00AA3FDB"/>
    <w:rsid w:val="00AC2ADD"/>
    <w:rsid w:val="00AC4AAF"/>
    <w:rsid w:val="00AD0855"/>
    <w:rsid w:val="00AF05BF"/>
    <w:rsid w:val="00B14D8B"/>
    <w:rsid w:val="00B30CD8"/>
    <w:rsid w:val="00B44963"/>
    <w:rsid w:val="00B44A35"/>
    <w:rsid w:val="00B602E1"/>
    <w:rsid w:val="00B61929"/>
    <w:rsid w:val="00B66D78"/>
    <w:rsid w:val="00B8566D"/>
    <w:rsid w:val="00B94138"/>
    <w:rsid w:val="00BA127D"/>
    <w:rsid w:val="00BD2FCD"/>
    <w:rsid w:val="00BD38B8"/>
    <w:rsid w:val="00BF70FA"/>
    <w:rsid w:val="00C201BE"/>
    <w:rsid w:val="00C26EFB"/>
    <w:rsid w:val="00C57DB7"/>
    <w:rsid w:val="00C72D7B"/>
    <w:rsid w:val="00C87020"/>
    <w:rsid w:val="00C949DF"/>
    <w:rsid w:val="00CA08A4"/>
    <w:rsid w:val="00CA3727"/>
    <w:rsid w:val="00CA4F1A"/>
    <w:rsid w:val="00CB30F7"/>
    <w:rsid w:val="00CB400E"/>
    <w:rsid w:val="00CB74BA"/>
    <w:rsid w:val="00CC0A89"/>
    <w:rsid w:val="00CC34EB"/>
    <w:rsid w:val="00CC4CEE"/>
    <w:rsid w:val="00CE5419"/>
    <w:rsid w:val="00CE71F8"/>
    <w:rsid w:val="00D21D9C"/>
    <w:rsid w:val="00D2302D"/>
    <w:rsid w:val="00D42FC3"/>
    <w:rsid w:val="00D72741"/>
    <w:rsid w:val="00D87156"/>
    <w:rsid w:val="00D964E9"/>
    <w:rsid w:val="00DB575F"/>
    <w:rsid w:val="00DC19AB"/>
    <w:rsid w:val="00DC7B2C"/>
    <w:rsid w:val="00DD7CAF"/>
    <w:rsid w:val="00DF06C5"/>
    <w:rsid w:val="00DF690D"/>
    <w:rsid w:val="00E13BFB"/>
    <w:rsid w:val="00E33AFF"/>
    <w:rsid w:val="00E521C0"/>
    <w:rsid w:val="00E55487"/>
    <w:rsid w:val="00E55B4E"/>
    <w:rsid w:val="00E7736C"/>
    <w:rsid w:val="00EB2622"/>
    <w:rsid w:val="00EB6BFC"/>
    <w:rsid w:val="00EC76F3"/>
    <w:rsid w:val="00ED08F6"/>
    <w:rsid w:val="00EF73FE"/>
    <w:rsid w:val="00F104AA"/>
    <w:rsid w:val="00F11627"/>
    <w:rsid w:val="00F213BA"/>
    <w:rsid w:val="00F23809"/>
    <w:rsid w:val="00F31A34"/>
    <w:rsid w:val="00F42D17"/>
    <w:rsid w:val="00F63227"/>
    <w:rsid w:val="00F70E58"/>
    <w:rsid w:val="00F87A19"/>
    <w:rsid w:val="00FC7958"/>
    <w:rsid w:val="00FD20D4"/>
    <w:rsid w:val="00FD32F5"/>
    <w:rsid w:val="00FE2BB8"/>
    <w:rsid w:val="05C24DC4"/>
    <w:rsid w:val="197C62CA"/>
    <w:rsid w:val="39695B8A"/>
    <w:rsid w:val="4A127A38"/>
    <w:rsid w:val="57AB2510"/>
    <w:rsid w:val="58C23BF8"/>
    <w:rsid w:val="71F3076C"/>
    <w:rsid w:val="7B283F3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Plain Text"/>
    <w:basedOn w:val="1"/>
    <w:uiPriority w:val="0"/>
    <w:rPr>
      <w:rFonts w:ascii="宋体" w:hAnsi="Courier New"/>
      <w:szCs w:val="20"/>
    </w:rPr>
  </w:style>
  <w:style w:type="paragraph" w:styleId="3">
    <w:name w:val="footer"/>
    <w:basedOn w:val="1"/>
    <w:link w:val="11"/>
    <w:uiPriority w:val="0"/>
    <w:pPr>
      <w:tabs>
        <w:tab w:val="center" w:pos="4153"/>
        <w:tab w:val="right" w:pos="8306"/>
      </w:tabs>
      <w:snapToGrid w:val="0"/>
      <w:jc w:val="left"/>
    </w:pPr>
    <w:rPr>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Title"/>
    <w:basedOn w:val="1"/>
    <w:next w:val="1"/>
    <w:link w:val="12"/>
    <w:qFormat/>
    <w:uiPriority w:val="0"/>
    <w:pPr>
      <w:spacing w:before="240" w:after="60"/>
      <w:jc w:val="center"/>
      <w:outlineLvl w:val="0"/>
    </w:pPr>
    <w:rPr>
      <w:rFonts w:ascii="等线 Light" w:hAnsi="等线 Light" w:cs="Times New Roman"/>
      <w:b/>
      <w:bCs/>
      <w:sz w:val="32"/>
      <w:szCs w:val="32"/>
    </w:rPr>
  </w:style>
  <w:style w:type="character" w:styleId="8">
    <w:name w:val="Hyperlink"/>
    <w:uiPriority w:val="0"/>
    <w:rPr>
      <w:color w:val="0000FF"/>
      <w:u w:val="none"/>
    </w:rPr>
  </w:style>
  <w:style w:type="paragraph" w:styleId="9">
    <w:name w:val="List Paragraph"/>
    <w:basedOn w:val="1"/>
    <w:qFormat/>
    <w:uiPriority w:val="99"/>
    <w:pPr>
      <w:ind w:firstLine="420" w:firstLineChars="200"/>
    </w:pPr>
  </w:style>
  <w:style w:type="character" w:customStyle="1" w:styleId="10">
    <w:name w:val="页眉 Char"/>
    <w:link w:val="4"/>
    <w:uiPriority w:val="0"/>
    <w:rPr>
      <w:kern w:val="2"/>
      <w:sz w:val="18"/>
      <w:szCs w:val="18"/>
    </w:rPr>
  </w:style>
  <w:style w:type="character" w:customStyle="1" w:styleId="11">
    <w:name w:val="页脚 Char"/>
    <w:link w:val="3"/>
    <w:uiPriority w:val="0"/>
    <w:rPr>
      <w:kern w:val="2"/>
      <w:sz w:val="18"/>
      <w:szCs w:val="18"/>
    </w:rPr>
  </w:style>
  <w:style w:type="character" w:customStyle="1" w:styleId="12">
    <w:name w:val="标题 字符"/>
    <w:link w:val="5"/>
    <w:uiPriority w:val="0"/>
    <w:rPr>
      <w:rFonts w:ascii="等线 Light" w:hAnsi="等线 Light" w:cs="Times New Roman"/>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176</Words>
  <Characters>1008</Characters>
  <Lines>8</Lines>
  <Paragraphs>2</Paragraphs>
  <TotalTime>0</TotalTime>
  <ScaleCrop>false</ScaleCrop>
  <LinksUpToDate>false</LinksUpToDate>
  <CharactersWithSpaces>1182</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2021-05-21T07:25:00Z</dcterms:created>
  <dc:creator>Administrator</dc:creator>
  <cp:lastModifiedBy>Administrator</cp:lastModifiedBy>
  <dcterms:modified xsi:type="dcterms:W3CDTF">2021-09-01T02:40:52Z</dcterms:modified>
  <dc:title>《环境工程微生物学》考试大纲</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