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南京信息工程大学硕士</w:t>
      </w:r>
      <w:r>
        <w:rPr>
          <w:rFonts w:hint="eastAsia" w:ascii="微软雅黑" w:hAnsi="微软雅黑" w:eastAsia="微软雅黑" w:cs="微软雅黑"/>
          <w:b/>
          <w:bCs/>
          <w:sz w:val="28"/>
        </w:rPr>
        <w:t>√</w:t>
      </w:r>
      <w:r>
        <w:rPr>
          <w:rFonts w:hint="eastAsia" w:eastAsia="微软雅黑"/>
          <w:b/>
          <w:bCs/>
          <w:sz w:val="28"/>
        </w:rPr>
        <w:t>、</w:t>
      </w:r>
      <w:r>
        <w:rPr>
          <w:rFonts w:hint="eastAsia"/>
          <w:b/>
          <w:bCs/>
          <w:sz w:val="28"/>
        </w:rPr>
        <w:t>博士</w:t>
      </w:r>
      <w:r>
        <w:rPr>
          <w:rFonts w:hint="eastAsia" w:ascii="微软雅黑" w:hAnsi="微软雅黑" w:eastAsia="微软雅黑" w:cs="微软雅黑"/>
          <w:b/>
          <w:bCs/>
          <w:sz w:val="28"/>
        </w:rPr>
        <w:t>□</w:t>
      </w:r>
      <w:r>
        <w:rPr>
          <w:rFonts w:hint="eastAsia"/>
          <w:b/>
          <w:bCs/>
          <w:sz w:val="28"/>
        </w:rPr>
        <w:t>研究生招生入学考试</w:t>
      </w: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考试大纲</w:t>
      </w:r>
    </w:p>
    <w:p>
      <w:pPr>
        <w:pStyle w:val="5"/>
        <w:rPr>
          <w:rFonts w:hint="eastAsia"/>
        </w:rPr>
      </w:pPr>
    </w:p>
    <w:p>
      <w:pPr>
        <w:pStyle w:val="5"/>
      </w:pPr>
      <w:r>
        <w:rPr>
          <w:rFonts w:hint="eastAsia"/>
        </w:rPr>
        <w:t>科目代码：4</w:t>
      </w:r>
      <w:r>
        <w:t>31</w:t>
      </w:r>
    </w:p>
    <w:p>
      <w:pPr>
        <w:pStyle w:val="5"/>
        <w:rPr>
          <w:rFonts w:hint="eastAsia"/>
        </w:rPr>
      </w:pPr>
      <w:r>
        <w:rPr>
          <w:rFonts w:hint="eastAsia"/>
        </w:rPr>
        <w:t>科目名称：金融学综合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目标与基本要求</w:t>
      </w:r>
    </w:p>
    <w:p>
      <w:pPr>
        <w:jc w:val="left"/>
        <w:rPr>
          <w:rFonts w:hint="eastAsia"/>
          <w:b/>
          <w:bCs/>
          <w:sz w:val="28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掌握考试大纲中所涉及的基本概念和理论方法，并能将所学理论应用于实际问题的分析中。</w:t>
      </w:r>
    </w:p>
    <w:p>
      <w:pPr>
        <w:jc w:val="center"/>
        <w:rPr>
          <w:rFonts w:hint="eastAsia"/>
          <w:b/>
          <w:bCs/>
          <w:sz w:val="28"/>
        </w:rPr>
      </w:pP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具体内容</w:t>
      </w:r>
    </w:p>
    <w:p>
      <w:pPr>
        <w:pStyle w:val="4"/>
        <w:spacing w:before="151" w:beforeAutospacing="0" w:after="432" w:afterAutospacing="0"/>
        <w:jc w:val="center"/>
        <w:rPr>
          <w:rFonts w:ascii="&amp;quot" w:hAnsi="&amp;quot"/>
          <w:b/>
          <w:color w:val="191919"/>
        </w:rPr>
      </w:pPr>
      <w:r>
        <w:rPr>
          <w:rFonts w:ascii="&amp;quot" w:hAnsi="&amp;quot"/>
          <w:b/>
          <w:color w:val="191919"/>
        </w:rPr>
        <w:t>（一）金融学</w:t>
      </w:r>
      <w:r>
        <w:rPr>
          <w:rFonts w:hint="eastAsia" w:ascii="&amp;quot" w:hAnsi="&amp;quot"/>
          <w:b/>
          <w:color w:val="191919"/>
        </w:rPr>
        <w:t>部分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1</w:t>
      </w:r>
      <w:r>
        <w:rPr>
          <w:rFonts w:ascii="&amp;quot" w:hAnsi="&amp;quot"/>
          <w:color w:val="191919"/>
          <w:sz w:val="21"/>
          <w:szCs w:val="21"/>
        </w:rPr>
        <w:t xml:space="preserve">. </w:t>
      </w:r>
      <w:r>
        <w:rPr>
          <w:rFonts w:hint="eastAsia" w:ascii="&amp;quot" w:hAnsi="&amp;quot"/>
          <w:color w:val="191919"/>
          <w:sz w:val="21"/>
          <w:szCs w:val="21"/>
        </w:rPr>
        <w:t>货币与货币制度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货币的职能与货币制度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国际货币体系</w:t>
      </w:r>
    </w:p>
    <w:p>
      <w:pPr>
        <w:pStyle w:val="4"/>
        <w:snapToGrid w:val="0"/>
        <w:spacing w:before="151" w:after="432"/>
        <w:contextualSpacing/>
        <w:rPr>
          <w:rFonts w:ascii="&amp;quot" w:hAnsi="&amp;quot"/>
          <w:color w:val="191919"/>
          <w:sz w:val="21"/>
          <w:szCs w:val="21"/>
        </w:rPr>
      </w:pP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2</w:t>
      </w:r>
      <w:r>
        <w:rPr>
          <w:rFonts w:ascii="&amp;quot" w:hAnsi="&amp;quot"/>
          <w:color w:val="191919"/>
          <w:sz w:val="21"/>
          <w:szCs w:val="21"/>
        </w:rPr>
        <w:t xml:space="preserve">. </w:t>
      </w:r>
      <w:r>
        <w:rPr>
          <w:rFonts w:hint="eastAsia" w:ascii="&amp;quot" w:hAnsi="&amp;quot"/>
          <w:color w:val="191919"/>
          <w:sz w:val="21"/>
          <w:szCs w:val="21"/>
        </w:rPr>
        <w:t>利息和利率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利息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利率决定理论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利率的期限结构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　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3</w:t>
      </w:r>
      <w:r>
        <w:rPr>
          <w:rFonts w:ascii="&amp;quot" w:hAnsi="&amp;quot"/>
          <w:color w:val="191919"/>
          <w:sz w:val="21"/>
          <w:szCs w:val="21"/>
        </w:rPr>
        <w:t xml:space="preserve">. </w:t>
      </w:r>
      <w:r>
        <w:rPr>
          <w:rFonts w:hint="eastAsia" w:ascii="&amp;quot" w:hAnsi="&amp;quot"/>
          <w:color w:val="191919"/>
          <w:sz w:val="21"/>
          <w:szCs w:val="21"/>
        </w:rPr>
        <w:t>外汇与汇率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外汇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汇率与汇率制度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币值、利率与汇率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汇率决定理论</w:t>
      </w:r>
    </w:p>
    <w:p>
      <w:pPr>
        <w:pStyle w:val="4"/>
        <w:snapToGrid w:val="0"/>
        <w:spacing w:before="151" w:after="432"/>
        <w:contextualSpacing/>
        <w:rPr>
          <w:rFonts w:ascii="&amp;quot" w:hAnsi="&amp;quot"/>
          <w:color w:val="191919"/>
          <w:sz w:val="21"/>
          <w:szCs w:val="21"/>
        </w:rPr>
      </w:pP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4</w:t>
      </w:r>
      <w:r>
        <w:rPr>
          <w:rFonts w:ascii="&amp;quot" w:hAnsi="&amp;quot"/>
          <w:color w:val="191919"/>
          <w:sz w:val="21"/>
          <w:szCs w:val="21"/>
        </w:rPr>
        <w:t xml:space="preserve">. </w:t>
      </w:r>
      <w:r>
        <w:rPr>
          <w:rFonts w:hint="eastAsia" w:ascii="&amp;quot" w:hAnsi="&amp;quot"/>
          <w:color w:val="191919"/>
          <w:sz w:val="21"/>
          <w:szCs w:val="21"/>
        </w:rPr>
        <w:t>金融市场与机构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金融市场及其要素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货币市场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资本市场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衍生工具市场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金融机构（种类、功能）</w:t>
      </w:r>
    </w:p>
    <w:p>
      <w:pPr>
        <w:pStyle w:val="4"/>
        <w:snapToGrid w:val="0"/>
        <w:spacing w:before="151" w:after="432"/>
        <w:contextualSpacing/>
        <w:rPr>
          <w:rFonts w:ascii="&amp;quot" w:hAnsi="&amp;quot"/>
          <w:color w:val="191919"/>
          <w:sz w:val="21"/>
          <w:szCs w:val="21"/>
        </w:rPr>
      </w:pP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ascii="&amp;quot" w:hAnsi="&amp;quot"/>
          <w:color w:val="191919"/>
          <w:sz w:val="21"/>
          <w:szCs w:val="21"/>
        </w:rPr>
        <w:t xml:space="preserve">5. </w:t>
      </w:r>
      <w:r>
        <w:rPr>
          <w:rFonts w:hint="eastAsia" w:ascii="&amp;quot" w:hAnsi="&amp;quot"/>
          <w:color w:val="191919"/>
          <w:sz w:val="21"/>
          <w:szCs w:val="21"/>
        </w:rPr>
        <w:t>商业银行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商业银行的负债业务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商业银行的资产业务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商业银行的中间业务和表外业务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商业银行的风险特征</w:t>
      </w:r>
    </w:p>
    <w:p>
      <w:pPr>
        <w:pStyle w:val="4"/>
        <w:snapToGrid w:val="0"/>
        <w:spacing w:before="151" w:after="432"/>
        <w:contextualSpacing/>
        <w:rPr>
          <w:rFonts w:ascii="&amp;quot" w:hAnsi="&amp;quot"/>
          <w:color w:val="191919"/>
          <w:sz w:val="21"/>
          <w:szCs w:val="21"/>
        </w:rPr>
      </w:pP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6</w:t>
      </w:r>
      <w:r>
        <w:rPr>
          <w:rFonts w:ascii="&amp;quot" w:hAnsi="&amp;quot"/>
          <w:color w:val="191919"/>
          <w:sz w:val="21"/>
          <w:szCs w:val="21"/>
        </w:rPr>
        <w:t xml:space="preserve">. </w:t>
      </w:r>
      <w:r>
        <w:rPr>
          <w:rFonts w:hint="eastAsia" w:ascii="&amp;quot" w:hAnsi="&amp;quot"/>
          <w:color w:val="191919"/>
          <w:sz w:val="21"/>
          <w:szCs w:val="21"/>
        </w:rPr>
        <w:t>现代货币创造机制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存款货币的创造机制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中央银行职能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中央银行体制下的货币创造过程</w:t>
      </w:r>
    </w:p>
    <w:p>
      <w:pPr>
        <w:pStyle w:val="4"/>
        <w:snapToGrid w:val="0"/>
        <w:spacing w:before="151" w:after="432"/>
        <w:contextualSpacing/>
        <w:rPr>
          <w:rFonts w:ascii="&amp;quot" w:hAnsi="&amp;quot"/>
          <w:color w:val="191919"/>
          <w:sz w:val="21"/>
          <w:szCs w:val="21"/>
        </w:rPr>
      </w:pP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7</w:t>
      </w:r>
      <w:r>
        <w:rPr>
          <w:rFonts w:ascii="&amp;quot" w:hAnsi="&amp;quot"/>
          <w:color w:val="191919"/>
          <w:sz w:val="21"/>
          <w:szCs w:val="21"/>
        </w:rPr>
        <w:t xml:space="preserve">. </w:t>
      </w:r>
      <w:r>
        <w:rPr>
          <w:rFonts w:hint="eastAsia" w:ascii="&amp;quot" w:hAnsi="&amp;quot"/>
          <w:color w:val="191919"/>
          <w:sz w:val="21"/>
          <w:szCs w:val="21"/>
        </w:rPr>
        <w:t>货币供求与均衡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货币需求理论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货币供给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货币均衡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通货膨胀与通货紧缩</w:t>
      </w:r>
    </w:p>
    <w:p>
      <w:pPr>
        <w:pStyle w:val="4"/>
        <w:snapToGrid w:val="0"/>
        <w:spacing w:before="151" w:after="432"/>
        <w:contextualSpacing/>
        <w:rPr>
          <w:rFonts w:ascii="&amp;quot" w:hAnsi="&amp;quot"/>
          <w:color w:val="191919"/>
          <w:sz w:val="21"/>
          <w:szCs w:val="21"/>
        </w:rPr>
      </w:pP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ascii="&amp;quot" w:hAnsi="&amp;quot"/>
          <w:color w:val="191919"/>
          <w:sz w:val="21"/>
          <w:szCs w:val="21"/>
        </w:rPr>
        <w:t xml:space="preserve">8. </w:t>
      </w:r>
      <w:r>
        <w:rPr>
          <w:rFonts w:hint="eastAsia" w:ascii="&amp;quot" w:hAnsi="&amp;quot"/>
          <w:color w:val="191919"/>
          <w:sz w:val="21"/>
          <w:szCs w:val="21"/>
        </w:rPr>
        <w:t>货币政策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货币政策及其目标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货币政策工具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货币政策的传导机制和中介指标</w:t>
      </w:r>
    </w:p>
    <w:p>
      <w:pPr>
        <w:pStyle w:val="4"/>
        <w:snapToGrid w:val="0"/>
        <w:spacing w:before="151" w:after="432"/>
        <w:contextualSpacing/>
        <w:rPr>
          <w:rFonts w:ascii="&amp;quot" w:hAnsi="&amp;quot"/>
          <w:color w:val="191919"/>
          <w:sz w:val="21"/>
          <w:szCs w:val="21"/>
        </w:rPr>
      </w:pP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ascii="&amp;quot" w:hAnsi="&amp;quot"/>
          <w:color w:val="191919"/>
          <w:sz w:val="21"/>
          <w:szCs w:val="21"/>
        </w:rPr>
        <w:t xml:space="preserve">9. </w:t>
      </w:r>
      <w:r>
        <w:rPr>
          <w:rFonts w:hint="eastAsia" w:ascii="&amp;quot" w:hAnsi="&amp;quot"/>
          <w:color w:val="191919"/>
          <w:sz w:val="21"/>
          <w:szCs w:val="21"/>
        </w:rPr>
        <w:t>国际收支与国际资本流动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国际收支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国际储备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国际资本流动</w:t>
      </w:r>
    </w:p>
    <w:p>
      <w:pPr>
        <w:pStyle w:val="4"/>
        <w:snapToGrid w:val="0"/>
        <w:spacing w:before="151" w:after="432"/>
        <w:contextualSpacing/>
        <w:rPr>
          <w:rFonts w:ascii="&amp;quot" w:hAnsi="&amp;quot"/>
          <w:color w:val="191919"/>
          <w:sz w:val="21"/>
          <w:szCs w:val="21"/>
        </w:rPr>
      </w:pP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1</w:t>
      </w:r>
      <w:r>
        <w:rPr>
          <w:rFonts w:ascii="&amp;quot" w:hAnsi="&amp;quot"/>
          <w:color w:val="191919"/>
          <w:sz w:val="21"/>
          <w:szCs w:val="21"/>
        </w:rPr>
        <w:t xml:space="preserve">0. </w:t>
      </w:r>
      <w:r>
        <w:rPr>
          <w:rFonts w:hint="eastAsia" w:ascii="&amp;quot" w:hAnsi="&amp;quot"/>
          <w:color w:val="191919"/>
          <w:sz w:val="21"/>
          <w:szCs w:val="21"/>
        </w:rPr>
        <w:t>金融监管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金融监管理论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巴塞尔协议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金融机构监管</w:t>
      </w:r>
    </w:p>
    <w:p>
      <w:pPr>
        <w:pStyle w:val="4"/>
        <w:snapToGrid w:val="0"/>
        <w:spacing w:before="151" w:beforeAutospacing="0" w:after="432" w:afterAutospacing="0"/>
        <w:contextualSpacing/>
        <w:rPr>
          <w:rFonts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金融市场监管</w:t>
      </w:r>
    </w:p>
    <w:p>
      <w:pPr>
        <w:pStyle w:val="4"/>
        <w:spacing w:before="151" w:beforeAutospacing="0" w:after="432" w:afterAutospacing="0"/>
        <w:jc w:val="center"/>
        <w:rPr>
          <w:rFonts w:hint="eastAsia" w:ascii="&amp;quot" w:hAnsi="&amp;quot"/>
          <w:b/>
          <w:color w:val="191919"/>
        </w:rPr>
      </w:pPr>
      <w:r>
        <w:rPr>
          <w:rFonts w:hint="eastAsia" w:ascii="&amp;quot" w:hAnsi="&amp;quot"/>
          <w:b/>
          <w:color w:val="191919"/>
        </w:rPr>
        <w:t>（二）</w:t>
      </w:r>
      <w:r>
        <w:rPr>
          <w:rFonts w:ascii="&amp;quot" w:hAnsi="&amp;quot"/>
          <w:b/>
          <w:color w:val="191919"/>
        </w:rPr>
        <w:t>公司</w:t>
      </w:r>
      <w:r>
        <w:rPr>
          <w:rFonts w:hint="eastAsia" w:ascii="&amp;quot" w:hAnsi="&amp;quot"/>
          <w:b/>
          <w:color w:val="191919"/>
        </w:rPr>
        <w:t>金融部分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1</w:t>
      </w:r>
      <w:r>
        <w:rPr>
          <w:rFonts w:ascii="&amp;quot" w:hAnsi="&amp;quot"/>
          <w:color w:val="191919"/>
          <w:sz w:val="21"/>
          <w:szCs w:val="21"/>
        </w:rPr>
        <w:t xml:space="preserve">. </w:t>
      </w:r>
      <w:r>
        <w:rPr>
          <w:rFonts w:hint="eastAsia" w:ascii="&amp;quot" w:hAnsi="&amp;quot"/>
          <w:color w:val="191919"/>
          <w:sz w:val="21"/>
          <w:szCs w:val="21"/>
        </w:rPr>
        <w:t>公司财务概述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什么是公司财务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财务管理目标</w:t>
      </w:r>
    </w:p>
    <w:p>
      <w:pPr>
        <w:pStyle w:val="4"/>
        <w:snapToGrid w:val="0"/>
        <w:spacing w:before="151" w:after="432"/>
        <w:contextualSpacing/>
        <w:rPr>
          <w:rFonts w:ascii="&amp;quot" w:hAnsi="&amp;quot"/>
          <w:color w:val="191919"/>
          <w:sz w:val="21"/>
          <w:szCs w:val="21"/>
        </w:rPr>
      </w:pP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2</w:t>
      </w:r>
      <w:r>
        <w:rPr>
          <w:rFonts w:ascii="&amp;quot" w:hAnsi="&amp;quot"/>
          <w:color w:val="191919"/>
          <w:sz w:val="21"/>
          <w:szCs w:val="21"/>
        </w:rPr>
        <w:t xml:space="preserve">. </w:t>
      </w:r>
      <w:r>
        <w:rPr>
          <w:rFonts w:hint="eastAsia" w:ascii="&amp;quot" w:hAnsi="&amp;quot"/>
          <w:color w:val="191919"/>
          <w:sz w:val="21"/>
          <w:szCs w:val="21"/>
        </w:rPr>
        <w:t>财务报表分析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会计报表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财务报表比率分析</w:t>
      </w:r>
    </w:p>
    <w:p>
      <w:pPr>
        <w:pStyle w:val="4"/>
        <w:snapToGrid w:val="0"/>
        <w:spacing w:before="151" w:after="432"/>
        <w:contextualSpacing/>
        <w:rPr>
          <w:rFonts w:ascii="&amp;quot" w:hAnsi="&amp;quot"/>
          <w:color w:val="191919"/>
          <w:sz w:val="21"/>
          <w:szCs w:val="21"/>
        </w:rPr>
      </w:pP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3</w:t>
      </w:r>
      <w:r>
        <w:rPr>
          <w:rFonts w:ascii="&amp;quot" w:hAnsi="&amp;quot"/>
          <w:color w:val="191919"/>
          <w:sz w:val="21"/>
          <w:szCs w:val="21"/>
        </w:rPr>
        <w:t xml:space="preserve">. </w:t>
      </w:r>
      <w:r>
        <w:rPr>
          <w:rFonts w:hint="eastAsia" w:ascii="&amp;quot" w:hAnsi="&amp;quot"/>
          <w:color w:val="191919"/>
          <w:sz w:val="21"/>
          <w:szCs w:val="21"/>
        </w:rPr>
        <w:t>长期财务规划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销售百分比法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外部融资与增长</w:t>
      </w:r>
    </w:p>
    <w:p>
      <w:pPr>
        <w:pStyle w:val="4"/>
        <w:snapToGrid w:val="0"/>
        <w:spacing w:before="151" w:after="432"/>
        <w:contextualSpacing/>
        <w:rPr>
          <w:rFonts w:ascii="&amp;quot" w:hAnsi="&amp;quot"/>
          <w:color w:val="191919"/>
          <w:sz w:val="21"/>
          <w:szCs w:val="21"/>
        </w:rPr>
      </w:pP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4</w:t>
      </w:r>
      <w:r>
        <w:rPr>
          <w:rFonts w:ascii="&amp;quot" w:hAnsi="&amp;quot"/>
          <w:color w:val="191919"/>
          <w:sz w:val="21"/>
          <w:szCs w:val="21"/>
        </w:rPr>
        <w:t xml:space="preserve">. </w:t>
      </w:r>
      <w:r>
        <w:rPr>
          <w:rFonts w:hint="eastAsia" w:ascii="&amp;quot" w:hAnsi="&amp;quot"/>
          <w:color w:val="191919"/>
          <w:sz w:val="21"/>
          <w:szCs w:val="21"/>
        </w:rPr>
        <w:t>折现与价值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现金流与折现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债券的估值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股票的估值</w:t>
      </w:r>
    </w:p>
    <w:p>
      <w:pPr>
        <w:pStyle w:val="4"/>
        <w:snapToGrid w:val="0"/>
        <w:spacing w:before="151" w:after="432"/>
        <w:contextualSpacing/>
        <w:rPr>
          <w:rFonts w:ascii="&amp;quot" w:hAnsi="&amp;quot"/>
          <w:color w:val="191919"/>
          <w:sz w:val="21"/>
          <w:szCs w:val="21"/>
        </w:rPr>
      </w:pP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5</w:t>
      </w:r>
      <w:r>
        <w:rPr>
          <w:rFonts w:ascii="&amp;quot" w:hAnsi="&amp;quot"/>
          <w:color w:val="191919"/>
          <w:sz w:val="21"/>
          <w:szCs w:val="21"/>
        </w:rPr>
        <w:t xml:space="preserve">. </w:t>
      </w:r>
      <w:r>
        <w:rPr>
          <w:rFonts w:hint="eastAsia" w:ascii="&amp;quot" w:hAnsi="&amp;quot"/>
          <w:color w:val="191919"/>
          <w:sz w:val="21"/>
          <w:szCs w:val="21"/>
        </w:rPr>
        <w:t>资本预算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投资决策方法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增量现金流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净现值运用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资本预算中的风险分析</w:t>
      </w:r>
    </w:p>
    <w:p>
      <w:pPr>
        <w:pStyle w:val="4"/>
        <w:snapToGrid w:val="0"/>
        <w:spacing w:before="151" w:after="432"/>
        <w:contextualSpacing/>
        <w:rPr>
          <w:rFonts w:ascii="&amp;quot" w:hAnsi="&amp;quot"/>
          <w:color w:val="191919"/>
          <w:sz w:val="21"/>
          <w:szCs w:val="21"/>
        </w:rPr>
      </w:pP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6</w:t>
      </w:r>
      <w:r>
        <w:rPr>
          <w:rFonts w:ascii="&amp;quot" w:hAnsi="&amp;quot"/>
          <w:color w:val="191919"/>
          <w:sz w:val="21"/>
          <w:szCs w:val="21"/>
        </w:rPr>
        <w:t xml:space="preserve">. </w:t>
      </w:r>
      <w:r>
        <w:rPr>
          <w:rFonts w:hint="eastAsia" w:ascii="&amp;quot" w:hAnsi="&amp;quot"/>
          <w:color w:val="191919"/>
          <w:sz w:val="21"/>
          <w:szCs w:val="21"/>
        </w:rPr>
        <w:t>风险与收益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风险与收益的度量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均值方差模型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资本资产定价模型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无套利定价模型</w:t>
      </w:r>
    </w:p>
    <w:p>
      <w:pPr>
        <w:pStyle w:val="4"/>
        <w:snapToGrid w:val="0"/>
        <w:spacing w:before="151" w:after="432"/>
        <w:contextualSpacing/>
        <w:rPr>
          <w:rFonts w:ascii="&amp;quot" w:hAnsi="&amp;quot"/>
          <w:color w:val="191919"/>
          <w:sz w:val="21"/>
          <w:szCs w:val="21"/>
        </w:rPr>
      </w:pP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7</w:t>
      </w:r>
      <w:r>
        <w:rPr>
          <w:rFonts w:ascii="&amp;quot" w:hAnsi="&amp;quot"/>
          <w:color w:val="191919"/>
          <w:sz w:val="21"/>
          <w:szCs w:val="21"/>
        </w:rPr>
        <w:t xml:space="preserve">. </w:t>
      </w:r>
      <w:r>
        <w:rPr>
          <w:rFonts w:hint="eastAsia" w:ascii="&amp;quot" w:hAnsi="&amp;quot"/>
          <w:color w:val="191919"/>
          <w:sz w:val="21"/>
          <w:szCs w:val="21"/>
        </w:rPr>
        <w:t>加权平均资本成本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贝塔（b）的估计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加权平均资本成本（WACC）</w:t>
      </w:r>
    </w:p>
    <w:p>
      <w:pPr>
        <w:pStyle w:val="4"/>
        <w:snapToGrid w:val="0"/>
        <w:spacing w:before="151" w:after="432"/>
        <w:contextualSpacing/>
        <w:rPr>
          <w:rFonts w:ascii="&amp;quot" w:hAnsi="&amp;quot"/>
          <w:color w:val="191919"/>
          <w:sz w:val="21"/>
          <w:szCs w:val="21"/>
        </w:rPr>
      </w:pP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8</w:t>
      </w:r>
      <w:r>
        <w:rPr>
          <w:rFonts w:ascii="&amp;quot" w:hAnsi="&amp;quot"/>
          <w:color w:val="191919"/>
          <w:sz w:val="21"/>
          <w:szCs w:val="21"/>
        </w:rPr>
        <w:t xml:space="preserve">. </w:t>
      </w:r>
      <w:r>
        <w:rPr>
          <w:rFonts w:hint="eastAsia" w:ascii="&amp;quot" w:hAnsi="&amp;quot"/>
          <w:color w:val="191919"/>
          <w:sz w:val="21"/>
          <w:szCs w:val="21"/>
        </w:rPr>
        <w:t>有效市场假说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有效资本市场的概念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有效资本市场的形式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有效市场与公司财务</w:t>
      </w:r>
    </w:p>
    <w:p>
      <w:pPr>
        <w:pStyle w:val="4"/>
        <w:snapToGrid w:val="0"/>
        <w:spacing w:before="151" w:after="432"/>
        <w:contextualSpacing/>
        <w:rPr>
          <w:rFonts w:ascii="&amp;quot" w:hAnsi="&amp;quot"/>
          <w:color w:val="191919"/>
          <w:sz w:val="21"/>
          <w:szCs w:val="21"/>
        </w:rPr>
      </w:pP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9</w:t>
      </w:r>
      <w:r>
        <w:rPr>
          <w:rFonts w:ascii="&amp;quot" w:hAnsi="&amp;quot"/>
          <w:color w:val="191919"/>
          <w:sz w:val="21"/>
          <w:szCs w:val="21"/>
        </w:rPr>
        <w:t xml:space="preserve">. </w:t>
      </w:r>
      <w:r>
        <w:rPr>
          <w:rFonts w:hint="eastAsia" w:ascii="&amp;quot" w:hAnsi="&amp;quot"/>
          <w:color w:val="191919"/>
          <w:sz w:val="21"/>
          <w:szCs w:val="21"/>
        </w:rPr>
        <w:t>资本结构与公司价值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债务融资与股权融资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资本结构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MM定理</w:t>
      </w:r>
    </w:p>
    <w:p>
      <w:pPr>
        <w:pStyle w:val="4"/>
        <w:snapToGrid w:val="0"/>
        <w:spacing w:before="151" w:after="432"/>
        <w:contextualSpacing/>
        <w:rPr>
          <w:rFonts w:ascii="&amp;quot" w:hAnsi="&amp;quot"/>
          <w:color w:val="191919"/>
          <w:sz w:val="21"/>
          <w:szCs w:val="21"/>
        </w:rPr>
      </w:pP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1</w:t>
      </w:r>
      <w:r>
        <w:rPr>
          <w:rFonts w:ascii="&amp;quot" w:hAnsi="&amp;quot"/>
          <w:color w:val="191919"/>
          <w:sz w:val="21"/>
          <w:szCs w:val="21"/>
        </w:rPr>
        <w:t xml:space="preserve">0. </w:t>
      </w:r>
      <w:r>
        <w:rPr>
          <w:rFonts w:hint="eastAsia" w:ascii="&amp;quot" w:hAnsi="&amp;quot"/>
          <w:color w:val="191919"/>
          <w:sz w:val="21"/>
          <w:szCs w:val="21"/>
        </w:rPr>
        <w:t>公司价值评估</w:t>
      </w:r>
    </w:p>
    <w:p>
      <w:pPr>
        <w:pStyle w:val="4"/>
        <w:snapToGrid w:val="0"/>
        <w:spacing w:before="151" w:after="432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公司价值评估的主要方法</w:t>
      </w:r>
    </w:p>
    <w:p>
      <w:pPr>
        <w:pStyle w:val="4"/>
        <w:snapToGrid w:val="0"/>
        <w:spacing w:before="151" w:beforeAutospacing="0" w:after="432" w:afterAutospacing="0"/>
        <w:contextualSpacing/>
        <w:rPr>
          <w:rFonts w:hint="eastAsia" w:ascii="&amp;quot" w:hAnsi="&amp;quot"/>
          <w:color w:val="191919"/>
          <w:sz w:val="21"/>
          <w:szCs w:val="21"/>
        </w:rPr>
      </w:pPr>
      <w:r>
        <w:rPr>
          <w:rFonts w:hint="eastAsia" w:ascii="&amp;quot" w:hAnsi="&amp;quot"/>
          <w:color w:val="191919"/>
          <w:sz w:val="21"/>
          <w:szCs w:val="21"/>
        </w:rPr>
        <w:t>●  三种方法的应用与比较</w:t>
      </w:r>
    </w:p>
    <w:p>
      <w:pPr>
        <w:jc w:val="center"/>
        <w:rPr>
          <w:rFonts w:hint="eastAsia"/>
          <w:b/>
          <w:bCs/>
          <w:sz w:val="28"/>
        </w:rPr>
      </w:pP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第三部分  有关说明</w:t>
      </w:r>
    </w:p>
    <w:p>
      <w:pPr>
        <w:widowControl/>
        <w:numPr>
          <w:ilvl w:val="0"/>
          <w:numId w:val="2"/>
        </w:numPr>
        <w:spacing w:line="400" w:lineRule="exact"/>
        <w:ind w:left="359" w:hanging="359" w:hangingChars="171"/>
        <w:jc w:val="left"/>
        <w:rPr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命题说明（可包含题型设计）：</w:t>
      </w:r>
    </w:p>
    <w:p>
      <w:pPr>
        <w:widowControl/>
        <w:spacing w:line="400" w:lineRule="exact"/>
        <w:ind w:left="359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金融学知识为90分，公司金融为60分，共计150分；</w:t>
      </w:r>
    </w:p>
    <w:p>
      <w:pPr>
        <w:widowControl/>
        <w:spacing w:line="400" w:lineRule="exact"/>
        <w:ind w:left="359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主要题型包括：选择题、名词解释、简答、计算、论述等。</w:t>
      </w:r>
    </w:p>
    <w:p>
      <w:pPr>
        <w:ind w:firstLine="210" w:firstLineChars="10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参考书目:</w:t>
      </w:r>
      <w:r>
        <w:rPr>
          <w:b/>
        </w:rPr>
        <w:t xml:space="preserve"> 《</w:t>
      </w:r>
      <w:r>
        <w:rPr>
          <w:color w:val="000000"/>
          <w:kern w:val="0"/>
          <w:szCs w:val="21"/>
        </w:rPr>
        <w:t xml:space="preserve">金融学》精编版 第五版，黄达 张杰 中国人民大学出版社 2020；《公司理财》精要版 </w:t>
      </w:r>
      <w:r>
        <w:t>[美]斯蒂芬 A. 罗斯（Stephen A. Ross）伦道夫 W. 威斯特菲尔</w:t>
      </w:r>
      <w:r>
        <w:rPr>
          <w:rFonts w:hint="eastAsia"/>
          <w:color w:val="000000"/>
          <w:kern w:val="0"/>
          <w:szCs w:val="21"/>
        </w:rPr>
        <w:t xml:space="preserve"> </w:t>
      </w:r>
      <w:r>
        <w:t>出版社:机械工业出版社  出版时间:2020年05月</w:t>
      </w:r>
    </w:p>
    <w:p>
      <w:pPr>
        <w:widowControl/>
        <w:numPr>
          <w:ilvl w:val="0"/>
          <w:numId w:val="2"/>
        </w:numPr>
        <w:spacing w:line="400" w:lineRule="exact"/>
        <w:ind w:left="359" w:hanging="359" w:hangingChars="171"/>
        <w:jc w:val="left"/>
        <w:rPr>
          <w:rFonts w:hint="eastAsia"/>
        </w:rPr>
      </w:pPr>
      <w:r>
        <w:rPr>
          <w:rFonts w:hint="eastAsia"/>
        </w:rPr>
        <w:t>其他规定：考试方式为闭卷笔试，总分</w:t>
      </w:r>
      <w:r>
        <w:t>150</w:t>
      </w:r>
      <w:r>
        <w:rPr>
          <w:rFonts w:hint="eastAsia"/>
        </w:rPr>
        <w:t xml:space="preserve">分，考试时间为 </w:t>
      </w:r>
      <w:r>
        <w:t>180</w:t>
      </w:r>
      <w:r>
        <w:rPr>
          <w:rFonts w:hint="eastAsia"/>
        </w:rPr>
        <w:t xml:space="preserve"> 分钟。</w:t>
      </w:r>
    </w:p>
    <w:p>
      <w:pPr>
        <w:widowControl/>
        <w:numPr>
          <w:ilvl w:val="0"/>
          <w:numId w:val="2"/>
        </w:numPr>
        <w:spacing w:line="400" w:lineRule="exact"/>
        <w:ind w:left="359" w:hanging="359" w:hangingChars="171"/>
        <w:jc w:val="left"/>
        <w:rPr>
          <w:rFonts w:hint="eastAsia"/>
        </w:rPr>
      </w:pPr>
      <w:r>
        <w:rPr>
          <w:rFonts w:hint="eastAsia"/>
        </w:rPr>
        <w:t>本科目考试不得使用计算器。</w:t>
      </w:r>
    </w:p>
    <w:p>
      <w:pPr>
        <w:widowControl/>
        <w:spacing w:line="400" w:lineRule="exact"/>
        <w:ind w:left="-359" w:leftChars="-171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86FD"/>
    <w:multiLevelType w:val="singleLevel"/>
    <w:tmpl w:val="23AA86F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6FE1378"/>
    <w:multiLevelType w:val="singleLevel"/>
    <w:tmpl w:val="26FE1378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82"/>
    <w:rsid w:val="0002414D"/>
    <w:rsid w:val="00076C15"/>
    <w:rsid w:val="00085E9B"/>
    <w:rsid w:val="000A606B"/>
    <w:rsid w:val="000C5863"/>
    <w:rsid w:val="000D00F4"/>
    <w:rsid w:val="0010484C"/>
    <w:rsid w:val="00137E9B"/>
    <w:rsid w:val="001726CD"/>
    <w:rsid w:val="001D05DF"/>
    <w:rsid w:val="001E3CD1"/>
    <w:rsid w:val="0020264A"/>
    <w:rsid w:val="002559B3"/>
    <w:rsid w:val="002C3975"/>
    <w:rsid w:val="002C7368"/>
    <w:rsid w:val="00351069"/>
    <w:rsid w:val="0037049F"/>
    <w:rsid w:val="003B70A9"/>
    <w:rsid w:val="003E4C46"/>
    <w:rsid w:val="00402FA4"/>
    <w:rsid w:val="00426082"/>
    <w:rsid w:val="00492BD7"/>
    <w:rsid w:val="004B2720"/>
    <w:rsid w:val="00507A7E"/>
    <w:rsid w:val="00550C3B"/>
    <w:rsid w:val="006D415B"/>
    <w:rsid w:val="006F4258"/>
    <w:rsid w:val="00721868"/>
    <w:rsid w:val="00757B72"/>
    <w:rsid w:val="007B5238"/>
    <w:rsid w:val="00862DCF"/>
    <w:rsid w:val="00863021"/>
    <w:rsid w:val="00892872"/>
    <w:rsid w:val="00910703"/>
    <w:rsid w:val="00933C2F"/>
    <w:rsid w:val="009557A9"/>
    <w:rsid w:val="00957F26"/>
    <w:rsid w:val="009C647F"/>
    <w:rsid w:val="009D1E8C"/>
    <w:rsid w:val="00A519CB"/>
    <w:rsid w:val="00A6653D"/>
    <w:rsid w:val="00A7478F"/>
    <w:rsid w:val="00AB6347"/>
    <w:rsid w:val="00BA1CEA"/>
    <w:rsid w:val="00BC0FD6"/>
    <w:rsid w:val="00BE3A71"/>
    <w:rsid w:val="00C20319"/>
    <w:rsid w:val="00C4241C"/>
    <w:rsid w:val="00C75F1F"/>
    <w:rsid w:val="00CB5263"/>
    <w:rsid w:val="00D250B8"/>
    <w:rsid w:val="00D66AB1"/>
    <w:rsid w:val="00D96A78"/>
    <w:rsid w:val="00DD6D7D"/>
    <w:rsid w:val="00DE681E"/>
    <w:rsid w:val="00E44D6C"/>
    <w:rsid w:val="00E97344"/>
    <w:rsid w:val="00ED0EBC"/>
    <w:rsid w:val="00EE0E99"/>
    <w:rsid w:val="00EF0402"/>
    <w:rsid w:val="00F21C41"/>
    <w:rsid w:val="00F430C9"/>
    <w:rsid w:val="00F72658"/>
    <w:rsid w:val="00FD3A08"/>
    <w:rsid w:val="0D0308B6"/>
    <w:rsid w:val="22931268"/>
    <w:rsid w:val="2750052A"/>
    <w:rsid w:val="32D642CA"/>
    <w:rsid w:val="3C9C547C"/>
    <w:rsid w:val="4B6A6B07"/>
    <w:rsid w:val="5C136950"/>
    <w:rsid w:val="787537C0"/>
    <w:rsid w:val="7D3A16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index 1"/>
    <w:basedOn w:val="1"/>
    <w:next w:val="1"/>
    <w:semiHidden/>
    <w:uiPriority w:val="0"/>
    <w:rPr>
      <w:rFonts w:ascii="宋体" w:hAnsi="宋体"/>
      <w:sz w:val="24"/>
    </w:rPr>
  </w:style>
  <w:style w:type="character" w:styleId="8">
    <w:name w:val="page number"/>
    <w:uiPriority w:val="0"/>
  </w:style>
  <w:style w:type="character" w:customStyle="1" w:styleId="9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3</Pages>
  <Words>192</Words>
  <Characters>1100</Characters>
  <Lines>9</Lines>
  <Paragraphs>2</Paragraphs>
  <TotalTime>0</TotalTime>
  <ScaleCrop>false</ScaleCrop>
  <LinksUpToDate>false</LinksUpToDate>
  <CharactersWithSpaces>1290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2016-05-23T06:45:00Z</dcterms:created>
  <dc:creator>MC SYSTEM</dc:creator>
  <cp:lastModifiedBy>Administrator</cp:lastModifiedBy>
  <cp:lastPrinted>2013-09-03T09:14:00Z</cp:lastPrinted>
  <dcterms:modified xsi:type="dcterms:W3CDTF">2021-09-13T06:39:26Z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D3886F4E37E94184B44638126962EE7F</vt:lpwstr>
  </property>
</Properties>
</file>