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</w:rPr>
        <w:t>科目代码：T04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科目名称：数值分析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auto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数值分析课程是应用数学、信息与计算科学、统计专业的基础课程。这门课的学习</w:t>
      </w:r>
      <w:r>
        <w:rPr>
          <w:rFonts w:hint="eastAsia" w:ascii="宋体" w:hAnsi="宋体"/>
          <w:szCs w:val="21"/>
          <w:lang w:val="en-US" w:eastAsia="zh-CN"/>
        </w:rPr>
        <w:t>旨在</w:t>
      </w:r>
      <w:r>
        <w:rPr>
          <w:rFonts w:hint="eastAsia" w:ascii="宋体" w:hAnsi="宋体"/>
          <w:szCs w:val="21"/>
        </w:rPr>
        <w:t>使</w:t>
      </w:r>
      <w:r>
        <w:rPr>
          <w:rFonts w:hint="eastAsia" w:ascii="宋体" w:hAnsi="宋体"/>
          <w:szCs w:val="21"/>
          <w:lang w:val="en-US" w:eastAsia="zh-CN"/>
        </w:rPr>
        <w:t>学生</w:t>
      </w:r>
      <w:r>
        <w:rPr>
          <w:rFonts w:hint="eastAsia" w:ascii="宋体" w:hAnsi="宋体"/>
          <w:szCs w:val="21"/>
        </w:rPr>
        <w:t>掌握有关数值分析的基本数值方法和理论分析方法，</w:t>
      </w:r>
      <w:r>
        <w:rPr>
          <w:rFonts w:hint="eastAsia" w:ascii="宋体" w:hAnsi="宋体"/>
          <w:szCs w:val="21"/>
          <w:lang w:val="en-US" w:eastAsia="zh-CN"/>
        </w:rPr>
        <w:t>培养学生</w:t>
      </w:r>
      <w:r>
        <w:rPr>
          <w:rFonts w:hint="eastAsia" w:ascii="宋体" w:hAnsi="宋体"/>
          <w:szCs w:val="21"/>
        </w:rPr>
        <w:t>运用数值方法求相关问题数值解的能力。考试目标主要是考察</w:t>
      </w:r>
      <w:r>
        <w:rPr>
          <w:rFonts w:ascii="宋体" w:hAnsi="宋体"/>
          <w:szCs w:val="21"/>
        </w:rPr>
        <w:t>考生对</w:t>
      </w:r>
      <w:r>
        <w:rPr>
          <w:rFonts w:hint="eastAsia" w:ascii="宋体" w:hAnsi="宋体"/>
          <w:szCs w:val="21"/>
        </w:rPr>
        <w:t>数值分析</w:t>
      </w:r>
      <w:r>
        <w:rPr>
          <w:rFonts w:ascii="宋体" w:hAnsi="宋体"/>
          <w:szCs w:val="21"/>
        </w:rPr>
        <w:t>基础理论、基本知识和基本技能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ascii="宋体" w:hAnsi="宋体"/>
          <w:szCs w:val="21"/>
        </w:rPr>
        <w:t>掌握程度，运用所学</w:t>
      </w:r>
      <w:r>
        <w:rPr>
          <w:rFonts w:hint="eastAsia" w:ascii="宋体" w:hAnsi="宋体"/>
          <w:szCs w:val="21"/>
        </w:rPr>
        <w:t>数值方法求问题的数值解</w:t>
      </w:r>
      <w:r>
        <w:rPr>
          <w:rFonts w:hint="eastAsia" w:ascii="宋体" w:hAnsi="宋体"/>
          <w:szCs w:val="21"/>
          <w:lang w:val="en-US" w:eastAsia="zh-CN"/>
        </w:rPr>
        <w:t>来</w:t>
      </w:r>
      <w:r>
        <w:rPr>
          <w:rFonts w:hint="eastAsia" w:ascii="宋体" w:hAnsi="宋体"/>
          <w:szCs w:val="21"/>
        </w:rPr>
        <w:t>解决实际问题的能力，并对误差等方面做相应</w:t>
      </w:r>
      <w:r>
        <w:rPr>
          <w:rFonts w:ascii="宋体" w:hAnsi="宋体"/>
          <w:szCs w:val="21"/>
        </w:rPr>
        <w:t>理论</w:t>
      </w:r>
      <w:r>
        <w:rPr>
          <w:rFonts w:hint="eastAsia" w:ascii="宋体" w:hAnsi="宋体"/>
          <w:szCs w:val="21"/>
        </w:rPr>
        <w:t>分析和估计的综合能力</w:t>
      </w:r>
      <w:r>
        <w:rPr>
          <w:rFonts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00" w:lineRule="auto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300" w:lineRule="auto"/>
        <w:ind w:firstLine="420" w:firstLineChars="200"/>
        <w:textAlignment w:val="auto"/>
        <w:rPr>
          <w:rFonts w:hint="eastAsia"/>
          <w:b/>
          <w:bCs/>
          <w:sz w:val="28"/>
        </w:rPr>
      </w:pPr>
      <w:r>
        <w:rPr>
          <w:rFonts w:hint="eastAsia" w:ascii="宋体" w:hAnsi="宋体"/>
          <w:szCs w:val="21"/>
        </w:rPr>
        <w:t>数值分析课程要求学生会运用简单的数值方法求解积分问题、线性方程组、方程求根、函数逼近问题、常微分方程、矩阵特征值等问题，并能进行误差分析与估计。通过该课程的学习，要求学生能够运用数值方法求解简单的问题，为后续数值代数、微分方程数值解等课程打基础。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具体内容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一、绪论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掌握</w:t>
      </w:r>
      <w:r>
        <w:rPr>
          <w:rFonts w:hint="eastAsia" w:ascii="宋体" w:hAnsi="宋体"/>
          <w:bCs/>
          <w:szCs w:val="21"/>
        </w:rPr>
        <w:t>误差的来源与分类、误差</w:t>
      </w:r>
      <w:r>
        <w:rPr>
          <w:rFonts w:hint="eastAsia" w:ascii="宋体" w:hAnsi="宋体"/>
          <w:bCs/>
          <w:szCs w:val="21"/>
          <w:lang w:val="en-US" w:eastAsia="zh-CN"/>
        </w:rPr>
        <w:t>的概念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</w:t>
      </w:r>
      <w:r>
        <w:rPr>
          <w:rFonts w:hint="eastAsia" w:ascii="宋体" w:hAnsi="宋体"/>
          <w:bCs/>
          <w:szCs w:val="21"/>
        </w:rPr>
        <w:t>有效数字，误差的定性分析与避免误差的危害、算法的数值稳定性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了解计算机算法的特性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二</w:t>
      </w:r>
      <w:r>
        <w:rPr>
          <w:rFonts w:hint="eastAsia" w:ascii="宋体" w:hAnsi="宋体" w:cs="宋体"/>
          <w:color w:val="000000"/>
          <w:kern w:val="0"/>
          <w:sz w:val="24"/>
        </w:rPr>
        <w:t>、非线性方程求根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"/>
        <w:textAlignment w:val="auto"/>
        <w:rPr>
          <w:rFonts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</w:t>
      </w:r>
      <w:r>
        <w:rPr>
          <w:rFonts w:hint="eastAsia"/>
          <w:color w:val="000000"/>
          <w:szCs w:val="21"/>
        </w:rPr>
        <w:t xml:space="preserve"> 掌握</w:t>
      </w:r>
      <w:r>
        <w:rPr>
          <w:rFonts w:hint="eastAsia" w:ascii="宋体" w:hAnsi="宋体"/>
          <w:bCs/>
          <w:szCs w:val="21"/>
        </w:rPr>
        <w:t>迭代法基本思想、迭代过程的收敛性、迭代过程的收敛速度、迭代过程的加速原理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</w:t>
      </w:r>
      <w:r>
        <w:rPr>
          <w:rFonts w:hint="eastAsia"/>
          <w:color w:val="000000"/>
          <w:szCs w:val="21"/>
        </w:rPr>
        <w:t xml:space="preserve"> 掌握</w:t>
      </w:r>
      <w:r>
        <w:rPr>
          <w:rFonts w:hint="eastAsia" w:ascii="宋体" w:hAnsi="宋体"/>
          <w:bCs/>
          <w:szCs w:val="21"/>
        </w:rPr>
        <w:t>牛顿法及其收敛性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掌握</w:t>
      </w:r>
      <w:r>
        <w:rPr>
          <w:rFonts w:hint="eastAsia" w:ascii="宋体" w:hAnsi="宋体"/>
          <w:bCs/>
          <w:szCs w:val="21"/>
        </w:rPr>
        <w:t>弦截法及其应用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</w:t>
      </w:r>
      <w:r>
        <w:rPr>
          <w:rFonts w:hint="eastAsia" w:ascii="宋体" w:hAnsi="宋体"/>
          <w:bCs/>
          <w:szCs w:val="21"/>
        </w:rPr>
        <w:t xml:space="preserve"> 了解非线性方程组的迭代法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4"/>
        </w:rPr>
        <w:t>、线性方程组的直接解法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掌握</w:t>
      </w:r>
      <w:r>
        <w:rPr>
          <w:rFonts w:hint="eastAsia" w:ascii="宋体" w:hAnsi="宋体"/>
          <w:bCs/>
          <w:szCs w:val="21"/>
        </w:rPr>
        <w:t>高斯消去法、列主元高斯消去法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直接解法的优缺点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</w:t>
      </w:r>
      <w:r>
        <w:rPr>
          <w:rFonts w:hint="eastAsia" w:ascii="宋体" w:hAnsi="宋体"/>
          <w:bCs/>
          <w:szCs w:val="21"/>
        </w:rPr>
        <w:t>向量和矩阵的范数、矩阵的谱半径、条件数和线性方程组解的误差的关系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3.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理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解</w:t>
      </w:r>
      <w:r>
        <w:rPr>
          <w:rFonts w:hint="default" w:ascii="Times New Roman" w:hAnsi="Times New Roman" w:cs="Times New Roman"/>
          <w:bCs/>
          <w:szCs w:val="21"/>
        </w:rPr>
        <w:t>LU</w:t>
      </w:r>
      <w:r>
        <w:rPr>
          <w:rFonts w:hint="eastAsia" w:ascii="宋体" w:hAnsi="宋体"/>
          <w:bCs/>
          <w:szCs w:val="21"/>
        </w:rPr>
        <w:t>三角分解法、平方根法、追赶法</w:t>
      </w:r>
      <w:r>
        <w:rPr>
          <w:rFonts w:hint="eastAsia" w:ascii="宋体" w:hAnsi="宋体" w:eastAsia="宋体" w:cs="Times New Roman"/>
          <w:bCs/>
          <w:szCs w:val="21"/>
        </w:rPr>
        <w:t>与三对角方程组的解法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了解极小化方法：最速下降法、共轭梯度法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四</w:t>
      </w:r>
      <w:r>
        <w:rPr>
          <w:rFonts w:hint="eastAsia" w:ascii="宋体" w:hAnsi="宋体" w:cs="宋体"/>
          <w:color w:val="000000"/>
          <w:kern w:val="0"/>
          <w:sz w:val="24"/>
        </w:rPr>
        <w:t>、线性方程组迭代解法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掌握</w:t>
      </w:r>
      <w:r>
        <w:rPr>
          <w:rFonts w:hint="eastAsia" w:ascii="宋体" w:hAnsi="宋体"/>
          <w:bCs/>
          <w:szCs w:val="21"/>
        </w:rPr>
        <w:t>雅可比迭代法、高斯—塞德尔迭代法、</w:t>
      </w:r>
      <w:r>
        <w:rPr>
          <w:rFonts w:hint="default" w:ascii="Times New Roman" w:hAnsi="Times New Roman" w:cs="Times New Roman"/>
          <w:bCs/>
          <w:szCs w:val="21"/>
        </w:rPr>
        <w:t>SOR</w:t>
      </w:r>
      <w:r>
        <w:rPr>
          <w:rFonts w:hint="eastAsia" w:ascii="宋体" w:hAnsi="宋体"/>
          <w:bCs/>
          <w:szCs w:val="21"/>
        </w:rPr>
        <w:t>迭代法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</w:t>
      </w:r>
      <w:r>
        <w:rPr>
          <w:rFonts w:hint="eastAsia" w:ascii="宋体" w:hAnsi="宋体"/>
          <w:bCs/>
          <w:szCs w:val="21"/>
        </w:rPr>
        <w:t>矩阵谱范数的计算方法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迭代法的收敛性判定方法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3.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了解</w:t>
      </w:r>
      <w:r>
        <w:rPr>
          <w:rFonts w:hint="eastAsia" w:ascii="宋体" w:hAnsi="宋体"/>
          <w:bCs/>
          <w:szCs w:val="21"/>
        </w:rPr>
        <w:t>线性方程组迭代解法的应用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五</w:t>
      </w:r>
      <w:r>
        <w:rPr>
          <w:rFonts w:hint="eastAsia" w:ascii="宋体" w:hAnsi="宋体" w:cs="宋体"/>
          <w:color w:val="000000"/>
          <w:kern w:val="0"/>
          <w:sz w:val="24"/>
        </w:rPr>
        <w:t>、插值法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掌握</w:t>
      </w:r>
      <w:r>
        <w:rPr>
          <w:rFonts w:hint="eastAsia" w:ascii="宋体" w:hAnsi="宋体"/>
          <w:bCs/>
          <w:szCs w:val="21"/>
        </w:rPr>
        <w:t>拉格朗日插值公式、牛顿插值公式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插值余项、误差估计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</w:t>
      </w:r>
      <w:r>
        <w:rPr>
          <w:rFonts w:hint="eastAsia" w:ascii="宋体" w:hAnsi="宋体"/>
          <w:bCs/>
          <w:szCs w:val="21"/>
        </w:rPr>
        <w:t>等距节点插值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插值余项、误差估计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掌握</w:t>
      </w:r>
      <w:r>
        <w:rPr>
          <w:rFonts w:hint="eastAsia" w:ascii="宋体" w:hAnsi="宋体"/>
          <w:bCs/>
          <w:szCs w:val="21"/>
        </w:rPr>
        <w:t>分段低次插值、插值余项、误差估计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理解</w:t>
      </w:r>
      <w:r>
        <w:rPr>
          <w:rFonts w:hint="eastAsia" w:ascii="宋体" w:hAnsi="宋体"/>
          <w:bCs/>
          <w:szCs w:val="21"/>
        </w:rPr>
        <w:t>带导数的插值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插值余项、误差估计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5. 了解样条插值、埃尔米特插值、插值余项、误差估计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六</w:t>
      </w:r>
      <w:r>
        <w:rPr>
          <w:rFonts w:hint="eastAsia" w:ascii="宋体" w:hAnsi="宋体" w:cs="宋体"/>
          <w:color w:val="000000"/>
          <w:kern w:val="0"/>
          <w:sz w:val="24"/>
        </w:rPr>
        <w:t>、曲线拟合与平方逼近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掌握</w:t>
      </w:r>
      <w:r>
        <w:rPr>
          <w:rFonts w:hint="eastAsia" w:ascii="宋体" w:hAnsi="宋体"/>
          <w:bCs/>
          <w:szCs w:val="21"/>
        </w:rPr>
        <w:t>最佳平方逼近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</w:t>
      </w:r>
      <w:r>
        <w:rPr>
          <w:rFonts w:hint="eastAsia" w:ascii="宋体" w:hAnsi="宋体"/>
          <w:bCs/>
          <w:szCs w:val="21"/>
        </w:rPr>
        <w:t>曲线拟合的最小二乘法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理解</w:t>
      </w:r>
      <w:r>
        <w:rPr>
          <w:rFonts w:hint="eastAsia" w:ascii="宋体" w:hAnsi="宋体"/>
          <w:bCs/>
          <w:szCs w:val="21"/>
        </w:rPr>
        <w:t>函数逼近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正交多项式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有理逼近的概念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了解三角多项式逼近及快速傅立叶变换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七</w:t>
      </w:r>
      <w:r>
        <w:rPr>
          <w:rFonts w:hint="eastAsia" w:ascii="宋体" w:hAnsi="宋体" w:cs="宋体"/>
          <w:color w:val="000000"/>
          <w:kern w:val="0"/>
          <w:sz w:val="24"/>
        </w:rPr>
        <w:t>、数值积分与数值微分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掌握</w:t>
      </w:r>
      <w:r>
        <w:rPr>
          <w:rFonts w:hint="eastAsia" w:ascii="宋体" w:hAnsi="宋体"/>
          <w:bCs/>
          <w:szCs w:val="21"/>
        </w:rPr>
        <w:t>插值型求积公式、几种低阶</w:t>
      </w:r>
      <w:r>
        <w:rPr>
          <w:rFonts w:hint="eastAsia" w:ascii="宋体" w:hAnsi="宋体" w:cs="宋体"/>
          <w:color w:val="000000"/>
          <w:kern w:val="0"/>
          <w:szCs w:val="21"/>
        </w:rPr>
        <w:t>牛顿-柯特斯</w:t>
      </w:r>
      <w:r>
        <w:rPr>
          <w:rFonts w:hint="eastAsia" w:ascii="宋体" w:hAnsi="宋体"/>
          <w:bCs/>
          <w:szCs w:val="21"/>
        </w:rPr>
        <w:t>求积公式及余项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</w:t>
      </w:r>
      <w:r>
        <w:rPr>
          <w:rFonts w:hint="eastAsia" w:ascii="宋体" w:hAnsi="宋体"/>
          <w:bCs/>
          <w:szCs w:val="21"/>
        </w:rPr>
        <w:t>代数精度、</w:t>
      </w:r>
      <w:r>
        <w:rPr>
          <w:rFonts w:hint="eastAsia" w:ascii="宋体" w:hAnsi="宋体" w:cs="宋体"/>
          <w:color w:val="000000"/>
          <w:kern w:val="0"/>
          <w:szCs w:val="21"/>
        </w:rPr>
        <w:t>龙贝格算法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3.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理解</w:t>
      </w:r>
      <w:r>
        <w:rPr>
          <w:rFonts w:hint="eastAsia" w:ascii="宋体" w:hAnsi="宋体"/>
          <w:bCs/>
          <w:szCs w:val="21"/>
        </w:rPr>
        <w:t>数值积分公式的一般形式及导出方法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了解</w:t>
      </w:r>
      <w:r>
        <w:rPr>
          <w:rFonts w:hint="eastAsia" w:ascii="宋体" w:hAnsi="宋体"/>
          <w:bCs/>
          <w:szCs w:val="21"/>
        </w:rPr>
        <w:t>数值微分方法的基本思想，高斯-勒让德等求积公式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多重积分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数值微分公式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八</w:t>
      </w:r>
      <w:r>
        <w:rPr>
          <w:rFonts w:hint="eastAsia" w:ascii="宋体" w:hAnsi="宋体" w:cs="宋体"/>
          <w:color w:val="000000"/>
          <w:kern w:val="0"/>
          <w:sz w:val="24"/>
        </w:rPr>
        <w:t>、常微分方程数值解法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eastAsia="宋体" w:cs="Times New Roman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握</w:t>
      </w:r>
      <w:r>
        <w:rPr>
          <w:rFonts w:hint="default" w:ascii="Times New Roman" w:hAnsi="Times New Roman" w:cs="Times New Roman"/>
          <w:bCs/>
          <w:szCs w:val="21"/>
        </w:rPr>
        <w:t>Euler法、Euler 法</w:t>
      </w:r>
      <w:r>
        <w:rPr>
          <w:rFonts w:hint="eastAsia" w:ascii="宋体" w:hAnsi="宋体"/>
          <w:bCs/>
          <w:szCs w:val="21"/>
        </w:rPr>
        <w:t>的改进、龙格-库塔方法</w:t>
      </w:r>
      <w:r>
        <w:rPr>
          <w:rFonts w:hint="eastAsia" w:ascii="宋体" w:hAnsi="宋体" w:eastAsia="宋体" w:cs="Times New Roman"/>
          <w:bCs/>
          <w:szCs w:val="21"/>
        </w:rPr>
        <w:t>及其误差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2.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理解</w:t>
      </w:r>
      <w:r>
        <w:rPr>
          <w:rFonts w:hint="eastAsia" w:ascii="宋体" w:hAnsi="宋体"/>
          <w:bCs/>
          <w:szCs w:val="21"/>
        </w:rPr>
        <w:t>单步法的相容性、收敛性和稳定性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了解</w:t>
      </w:r>
      <w:r>
        <w:rPr>
          <w:rFonts w:hint="eastAsia" w:ascii="宋体" w:hAnsi="宋体"/>
          <w:bCs/>
          <w:szCs w:val="21"/>
        </w:rPr>
        <w:t>离散变量法和离散误差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</w:t>
      </w:r>
      <w:r>
        <w:rPr>
          <w:rFonts w:hint="eastAsia" w:ascii="宋体" w:hAnsi="宋体"/>
          <w:bCs/>
          <w:szCs w:val="21"/>
        </w:rPr>
        <w:t xml:space="preserve"> 了解线性多步法的相容性、收敛性和稳定性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auto"/>
        <w:ind w:left="410" w:hanging="410" w:hangingChars="171"/>
        <w:jc w:val="left"/>
        <w:textAlignment w:val="auto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九、矩阵特征值问题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掌握</w:t>
      </w:r>
      <w:r>
        <w:rPr>
          <w:rFonts w:hint="eastAsia" w:ascii="宋体" w:hAnsi="宋体"/>
          <w:bCs/>
          <w:szCs w:val="21"/>
        </w:rPr>
        <w:t>幂法和反幂法的原理和解决的对象及其加速方法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</w:t>
      </w:r>
      <w:r>
        <w:rPr>
          <w:rFonts w:hint="eastAsia" w:ascii="宋体" w:hAnsi="宋体"/>
          <w:bCs/>
          <w:szCs w:val="21"/>
        </w:rPr>
        <w:t>矩阵的</w:t>
      </w:r>
      <w:r>
        <w:rPr>
          <w:rFonts w:hint="eastAsia" w:ascii="Times New Roman" w:hAnsi="Times New Roman" w:eastAsia="宋体" w:cs="Times New Roman"/>
          <w:bCs/>
          <w:szCs w:val="21"/>
        </w:rPr>
        <w:t>QR法</w:t>
      </w:r>
      <w:r>
        <w:rPr>
          <w:rFonts w:hint="eastAsia" w:ascii="宋体" w:hAnsi="宋体"/>
          <w:bCs/>
          <w:szCs w:val="21"/>
        </w:rPr>
        <w:t>分解的原理</w:t>
      </w:r>
      <w:r>
        <w:rPr>
          <w:rFonts w:hint="eastAsia" w:ascii="宋体" w:hAnsi="宋体"/>
          <w:bCs/>
          <w:szCs w:val="21"/>
          <w:lang w:eastAsia="zh-CN"/>
        </w:rPr>
        <w:t>、</w:t>
      </w:r>
      <w:r>
        <w:rPr>
          <w:rFonts w:hint="eastAsia" w:ascii="宋体" w:hAnsi="宋体"/>
          <w:bCs/>
          <w:szCs w:val="21"/>
        </w:rPr>
        <w:t>变形和同时过程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掌握</w:t>
      </w:r>
      <w:r>
        <w:rPr>
          <w:rFonts w:hint="eastAsia" w:ascii="宋体" w:hAnsi="宋体"/>
          <w:bCs/>
          <w:szCs w:val="21"/>
        </w:rPr>
        <w:t>特征值的估计</w:t>
      </w:r>
      <w:r>
        <w:rPr>
          <w:rFonts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</w:rPr>
        <w:t>正交变换的</w:t>
      </w:r>
      <w:r>
        <w:rPr>
          <w:rFonts w:hint="default" w:ascii="Times New Roman" w:hAnsi="Times New Roman" w:cs="Times New Roman"/>
          <w:bCs/>
          <w:szCs w:val="21"/>
        </w:rPr>
        <w:t>Givens</w:t>
      </w:r>
      <w:r>
        <w:rPr>
          <w:rFonts w:hint="eastAsia" w:ascii="宋体" w:hAnsi="宋体"/>
          <w:bCs/>
          <w:szCs w:val="21"/>
        </w:rPr>
        <w:t>和</w:t>
      </w:r>
      <w:r>
        <w:rPr>
          <w:rFonts w:hint="eastAsia" w:ascii="Times New Roman" w:hAnsi="Times New Roman" w:eastAsia="宋体" w:cs="Times New Roman"/>
          <w:bCs/>
          <w:szCs w:val="21"/>
        </w:rPr>
        <w:t>Householder</w:t>
      </w:r>
      <w:r>
        <w:rPr>
          <w:rFonts w:hint="eastAsia" w:ascii="宋体" w:hAnsi="宋体"/>
          <w:bCs/>
          <w:szCs w:val="21"/>
        </w:rPr>
        <w:t>变换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/>
          <w:bCs/>
          <w:szCs w:val="21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命题说明（可包含题型设计）：</w:t>
      </w:r>
      <w:r>
        <w:rPr>
          <w:rFonts w:hint="eastAsia" w:ascii="宋体" w:hAnsi="宋体" w:cs="宋体"/>
          <w:color w:val="000000"/>
          <w:kern w:val="0"/>
          <w:szCs w:val="21"/>
        </w:rPr>
        <w:t>填空题</w:t>
      </w:r>
      <w:r>
        <w:rPr>
          <w:rFonts w:ascii="宋体" w:hAnsi="宋体" w:cs="宋体"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约40%；计算与分析题</w:t>
      </w:r>
      <w:r>
        <w:rPr>
          <w:rFonts w:ascii="宋体" w:hAnsi="宋体" w:cs="宋体"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约60%。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参考书目：</w:t>
      </w:r>
      <w:r>
        <w:rPr>
          <w:rFonts w:hint="eastAsia" w:ascii="宋体" w:hAnsi="宋体" w:cs="宋体"/>
          <w:color w:val="000000"/>
          <w:kern w:val="0"/>
          <w:szCs w:val="21"/>
        </w:rPr>
        <w:t>李庆扬，</w:t>
      </w:r>
      <w:r>
        <w:rPr>
          <w:rFonts w:hint="eastAsia" w:ascii="宋体" w:hAnsi="宋体"/>
          <w:bCs/>
        </w:rPr>
        <w:t>王能超,易大义</w:t>
      </w:r>
      <w:r>
        <w:rPr>
          <w:rFonts w:hint="eastAsia" w:ascii="宋体" w:hAnsi="宋体"/>
          <w:bCs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数值分析（第五版），清华大学出版社。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/>
        </w:rPr>
      </w:pPr>
      <w:r>
        <w:rPr>
          <w:rFonts w:hint="eastAsia"/>
        </w:rPr>
        <w:t>其他规定：考试方式为闭卷笔试，总分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分，考试时间为</w:t>
      </w:r>
      <w:r>
        <w:rPr>
          <w:rFonts w:hint="eastAsia"/>
          <w:lang w:val="en-US" w:eastAsia="zh-CN"/>
        </w:rPr>
        <w:t>120</w:t>
      </w:r>
      <w:r>
        <w:rPr>
          <w:rFonts w:hint="eastAsia"/>
        </w:rPr>
        <w:t>分钟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4、本科目考试不得使用计算器。</w:t>
      </w:r>
    </w:p>
    <w:p>
      <w:pPr>
        <w:widowControl/>
        <w:numPr>
          <w:ilvl w:val="0"/>
          <w:numId w:val="0"/>
        </w:numPr>
        <w:spacing w:line="400" w:lineRule="exact"/>
        <w:ind w:leftChars="-171"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C3975"/>
    <w:rsid w:val="002C7368"/>
    <w:rsid w:val="0037049F"/>
    <w:rsid w:val="003B70A9"/>
    <w:rsid w:val="00402FA4"/>
    <w:rsid w:val="00426082"/>
    <w:rsid w:val="00492BD7"/>
    <w:rsid w:val="004B2720"/>
    <w:rsid w:val="00507A7E"/>
    <w:rsid w:val="00550C3B"/>
    <w:rsid w:val="006D415B"/>
    <w:rsid w:val="006F4258"/>
    <w:rsid w:val="00721868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E44D6C"/>
    <w:rsid w:val="00E97344"/>
    <w:rsid w:val="00ED0EBC"/>
    <w:rsid w:val="00EF0402"/>
    <w:rsid w:val="00F430C9"/>
    <w:rsid w:val="00F72658"/>
    <w:rsid w:val="00FD3A08"/>
    <w:rsid w:val="0D0308B6"/>
    <w:rsid w:val="135B0B8C"/>
    <w:rsid w:val="1F6427F7"/>
    <w:rsid w:val="22931268"/>
    <w:rsid w:val="241B0BD5"/>
    <w:rsid w:val="2750052A"/>
    <w:rsid w:val="30CA43A4"/>
    <w:rsid w:val="32D642CA"/>
    <w:rsid w:val="39D31C05"/>
    <w:rsid w:val="3A3902D8"/>
    <w:rsid w:val="3C9C547C"/>
    <w:rsid w:val="46E97EF2"/>
    <w:rsid w:val="47E550AB"/>
    <w:rsid w:val="4C3D4FBF"/>
    <w:rsid w:val="5217681B"/>
    <w:rsid w:val="552E59B3"/>
    <w:rsid w:val="5A255894"/>
    <w:rsid w:val="5C136950"/>
    <w:rsid w:val="5F1A3FBA"/>
    <w:rsid w:val="60B43F6D"/>
    <w:rsid w:val="63E1691C"/>
    <w:rsid w:val="6AC61BA2"/>
    <w:rsid w:val="6B8110AD"/>
    <w:rsid w:val="715E509B"/>
    <w:rsid w:val="71BB69C0"/>
    <w:rsid w:val="787537C0"/>
    <w:rsid w:val="78B01AA8"/>
    <w:rsid w:val="79991896"/>
    <w:rsid w:val="7D586FEB"/>
    <w:rsid w:val="7F8F1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580</Words>
  <Characters>3309</Characters>
  <Lines>27</Lines>
  <Paragraphs>7</Paragraphs>
  <TotalTime>1</TotalTime>
  <ScaleCrop>false</ScaleCrop>
  <LinksUpToDate>false</LinksUpToDate>
  <CharactersWithSpaces>3882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2021-09-13T06:38:53Z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