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200" w:line="360" w:lineRule="auto"/>
        <w:jc w:val="center"/>
        <w:rPr>
          <w:rFonts w:ascii="方正小标宋简体" w:hAnsi="Times New Roman" w:eastAsia="方正小标宋简体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b/>
          <w:bCs/>
          <w:sz w:val="32"/>
          <w:szCs w:val="32"/>
        </w:rPr>
        <w:t>华中农业大学学术型硕士研究生入学考试大纲</w:t>
      </w:r>
    </w:p>
    <w:p>
      <w:pPr>
        <w:pStyle w:val="2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考试科目：传播学理论与方法</w:t>
      </w:r>
    </w:p>
    <w:p>
      <w:pPr>
        <w:pStyle w:val="3"/>
        <w:spacing w:after="120" w:line="415" w:lineRule="auto"/>
        <w:rPr>
          <w:kern w:val="0"/>
        </w:rPr>
      </w:pPr>
      <w:r>
        <w:rPr>
          <w:rFonts w:hint="eastAsia"/>
          <w:kern w:val="0"/>
        </w:rPr>
        <w:t>一、考试的学科范围</w:t>
      </w:r>
    </w:p>
    <w:p>
      <w:pPr>
        <w:snapToGrid w:val="0"/>
        <w:spacing w:before="312" w:beforeLines="100" w:after="120" w:line="200" w:lineRule="exact"/>
        <w:ind w:firstLine="420" w:firstLineChars="200"/>
        <w:jc w:val="left"/>
        <w:rPr>
          <w:rFonts w:cs="宋体" w:asciiTheme="majorEastAsia" w:hAnsiTheme="majorEastAsia" w:eastAsiaTheme="majorEastAsia"/>
          <w:b/>
          <w:szCs w:val="21"/>
        </w:rPr>
      </w:pPr>
      <w:r>
        <w:rPr>
          <w:rFonts w:hint="eastAsia"/>
          <w:kern w:val="0"/>
          <w:szCs w:val="21"/>
        </w:rPr>
        <w:t>本课程考试范围包括传播学理论与传播研究方法两部分。</w:t>
      </w:r>
    </w:p>
    <w:p>
      <w:pPr>
        <w:pStyle w:val="3"/>
        <w:spacing w:after="120" w:line="415" w:lineRule="auto"/>
        <w:rPr>
          <w:kern w:val="0"/>
        </w:rPr>
      </w:pPr>
      <w:r>
        <w:rPr>
          <w:rFonts w:hint="eastAsia"/>
          <w:kern w:val="0"/>
        </w:rPr>
        <w:t>二、要求掌握的基本内容</w:t>
      </w:r>
    </w:p>
    <w:p>
      <w:pPr>
        <w:snapToGrid w:val="0"/>
        <w:spacing w:before="156" w:beforeLines="50" w:after="120" w:line="380" w:lineRule="exact"/>
        <w:ind w:firstLine="420" w:firstLineChars="20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传播学理论方面：要求掌握传播学的基本概念与理论，掌握传播学的学科背景、发展进程、学科性质、研究对象及其研究方法，能够运用传播学的概念、理论与方法分析和解释社会传播现象；掌握经典传播学理论和传播学理论各主要流派、人物及其观点，并对不同的理论流派及其观点能够进行比较分析。</w:t>
      </w:r>
    </w:p>
    <w:p>
      <w:pPr>
        <w:snapToGrid w:val="0"/>
        <w:spacing w:before="156" w:beforeLines="50" w:after="120" w:line="380" w:lineRule="exact"/>
        <w:ind w:firstLine="420" w:firstLineChars="20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传播研究方法方面：掌握传播研究的基本原理与基本方法；具备量化分析与质化分析的基本知识。</w:t>
      </w:r>
    </w:p>
    <w:p>
      <w:pPr>
        <w:pStyle w:val="3"/>
        <w:spacing w:after="120" w:line="415" w:lineRule="auto"/>
        <w:rPr>
          <w:kern w:val="0"/>
        </w:rPr>
      </w:pPr>
      <w:r>
        <w:rPr>
          <w:rFonts w:hint="eastAsia"/>
          <w:kern w:val="0"/>
        </w:rPr>
        <w:t>三、参考书目</w:t>
      </w:r>
    </w:p>
    <w:p>
      <w:pPr>
        <w:snapToGrid w:val="0"/>
        <w:spacing w:before="156" w:beforeLines="50" w:after="120" w:line="200" w:lineRule="exact"/>
        <w:ind w:firstLine="420" w:firstLineChars="200"/>
        <w:jc w:val="left"/>
        <w:rPr>
          <w:kern w:val="0"/>
          <w:szCs w:val="21"/>
        </w:rPr>
      </w:pPr>
      <w:r>
        <w:rPr>
          <w:kern w:val="0"/>
          <w:szCs w:val="21"/>
        </w:rPr>
        <w:t>1.《传播学教程》，郭庆光</w:t>
      </w:r>
      <w:r>
        <w:rPr>
          <w:rFonts w:hint="eastAsia"/>
          <w:kern w:val="0"/>
          <w:szCs w:val="21"/>
        </w:rPr>
        <w:t>(</w:t>
      </w:r>
      <w:r>
        <w:rPr>
          <w:kern w:val="0"/>
          <w:szCs w:val="21"/>
        </w:rPr>
        <w:t>第2版</w:t>
      </w:r>
      <w:r>
        <w:rPr>
          <w:rFonts w:hint="eastAsia"/>
          <w:kern w:val="0"/>
          <w:szCs w:val="21"/>
        </w:rPr>
        <w:t>)</w:t>
      </w:r>
      <w:r>
        <w:rPr>
          <w:kern w:val="0"/>
          <w:szCs w:val="21"/>
        </w:rPr>
        <w:t>，中国人民大学出版社</w:t>
      </w:r>
    </w:p>
    <w:p>
      <w:pPr>
        <w:snapToGrid w:val="0"/>
        <w:spacing w:before="156" w:beforeLines="50" w:after="120" w:line="200" w:lineRule="exact"/>
        <w:ind w:firstLine="420" w:firstLineChars="200"/>
        <w:jc w:val="left"/>
        <w:rPr>
          <w:kern w:val="0"/>
          <w:szCs w:val="21"/>
        </w:rPr>
      </w:pPr>
      <w:r>
        <w:rPr>
          <w:kern w:val="0"/>
          <w:szCs w:val="21"/>
        </w:rPr>
        <w:t>2.《传播学引论》，李彬</w:t>
      </w:r>
      <w:r>
        <w:rPr>
          <w:rFonts w:hint="eastAsia"/>
          <w:kern w:val="0"/>
          <w:szCs w:val="21"/>
        </w:rPr>
        <w:t>(</w:t>
      </w:r>
      <w:r>
        <w:rPr>
          <w:kern w:val="0"/>
          <w:szCs w:val="21"/>
        </w:rPr>
        <w:t>第3版</w:t>
      </w:r>
      <w:r>
        <w:rPr>
          <w:rFonts w:hint="eastAsia"/>
          <w:kern w:val="0"/>
          <w:szCs w:val="21"/>
        </w:rPr>
        <w:t>)</w:t>
      </w:r>
      <w:r>
        <w:rPr>
          <w:kern w:val="0"/>
          <w:szCs w:val="21"/>
        </w:rPr>
        <w:t>，高等教育出版社</w:t>
      </w:r>
    </w:p>
    <w:p>
      <w:pPr>
        <w:snapToGrid w:val="0"/>
        <w:spacing w:before="156" w:beforeLines="50" w:after="120" w:line="200" w:lineRule="exact"/>
        <w:ind w:firstLine="420" w:firstLineChars="200"/>
        <w:jc w:val="left"/>
        <w:rPr>
          <w:kern w:val="0"/>
          <w:szCs w:val="21"/>
        </w:rPr>
      </w:pPr>
      <w:r>
        <w:rPr>
          <w:kern w:val="0"/>
          <w:szCs w:val="21"/>
        </w:rPr>
        <w:t>3.《大众传播理论：范式与流派》，刘海龙，中国人民大学出版社</w:t>
      </w:r>
    </w:p>
    <w:p>
      <w:pPr>
        <w:snapToGrid w:val="0"/>
        <w:spacing w:before="156" w:beforeLines="50" w:after="120" w:line="200" w:lineRule="exact"/>
        <w:ind w:firstLine="420" w:firstLineChars="200"/>
        <w:jc w:val="left"/>
        <w:rPr>
          <w:kern w:val="0"/>
          <w:szCs w:val="21"/>
        </w:rPr>
      </w:pPr>
      <w:r>
        <w:rPr>
          <w:kern w:val="0"/>
          <w:szCs w:val="21"/>
        </w:rPr>
        <w:t>4. 《传播学概论》</w:t>
      </w:r>
      <w:r>
        <w:rPr>
          <w:rFonts w:hint="eastAsia"/>
          <w:kern w:val="0"/>
          <w:szCs w:val="21"/>
        </w:rPr>
        <w:t>(</w:t>
      </w:r>
      <w:r>
        <w:rPr>
          <w:kern w:val="0"/>
          <w:szCs w:val="21"/>
        </w:rPr>
        <w:t>第2版</w:t>
      </w:r>
      <w:r>
        <w:rPr>
          <w:rFonts w:hint="eastAsia"/>
          <w:kern w:val="0"/>
          <w:szCs w:val="21"/>
        </w:rPr>
        <w:t>)，</w:t>
      </w:r>
      <w:r>
        <w:rPr>
          <w:kern w:val="0"/>
          <w:szCs w:val="21"/>
        </w:rPr>
        <w:t xml:space="preserve"> [美]威尔伯·施拉姆著，何道宽译，中国人民大学出版社</w:t>
      </w:r>
    </w:p>
    <w:p>
      <w:pPr>
        <w:snapToGrid w:val="0"/>
        <w:spacing w:before="156" w:beforeLines="50" w:after="120" w:line="200" w:lineRule="exact"/>
        <w:ind w:firstLine="420" w:firstLineChars="200"/>
        <w:jc w:val="left"/>
        <w:rPr>
          <w:kern w:val="0"/>
          <w:szCs w:val="21"/>
        </w:rPr>
      </w:pPr>
      <w:r>
        <w:rPr>
          <w:kern w:val="0"/>
          <w:szCs w:val="21"/>
        </w:rPr>
        <w:t>5.《大众传播学研究方法导论》</w:t>
      </w:r>
      <w:r>
        <w:rPr>
          <w:rFonts w:hint="eastAsia"/>
          <w:kern w:val="0"/>
          <w:szCs w:val="21"/>
        </w:rPr>
        <w:t>(</w:t>
      </w:r>
      <w:r>
        <w:rPr>
          <w:kern w:val="0"/>
          <w:szCs w:val="21"/>
        </w:rPr>
        <w:t>第2版</w:t>
      </w:r>
      <w:r>
        <w:rPr>
          <w:rFonts w:hint="eastAsia"/>
          <w:kern w:val="0"/>
          <w:szCs w:val="21"/>
        </w:rPr>
        <w:t>)</w:t>
      </w:r>
      <w:r>
        <w:rPr>
          <w:kern w:val="0"/>
          <w:szCs w:val="21"/>
        </w:rPr>
        <w:t>，陈阳，中国人民大学出版社</w:t>
      </w:r>
    </w:p>
    <w:p>
      <w:pPr>
        <w:snapToGrid w:val="0"/>
        <w:spacing w:before="156" w:beforeLines="50" w:after="120" w:line="200" w:lineRule="exact"/>
        <w:ind w:firstLine="420" w:firstLineChars="200"/>
        <w:jc w:val="left"/>
        <w:rPr>
          <w:kern w:val="0"/>
          <w:szCs w:val="21"/>
        </w:rPr>
      </w:pPr>
      <w:r>
        <w:rPr>
          <w:kern w:val="0"/>
          <w:szCs w:val="21"/>
        </w:rPr>
        <w:t>6.《传播学史：一种传记式的方法》[美]E.M.罗杰斯著，殷晓蓉译，上海译文出版社</w:t>
      </w:r>
    </w:p>
    <w:p>
      <w:pPr>
        <w:snapToGrid w:val="0"/>
        <w:spacing w:before="156" w:beforeLines="50" w:after="120" w:line="200" w:lineRule="exact"/>
        <w:ind w:firstLine="420" w:firstLineChars="200"/>
        <w:jc w:val="left"/>
        <w:rPr>
          <w:kern w:val="0"/>
          <w:szCs w:val="21"/>
        </w:rPr>
      </w:pPr>
      <w:r>
        <w:rPr>
          <w:kern w:val="0"/>
          <w:szCs w:val="21"/>
        </w:rPr>
        <w:t>7.《传播理论：起源、方法与应用》，[美]赛弗林·坦卡德等，华夏出版社</w:t>
      </w:r>
    </w:p>
    <w:p>
      <w:pPr>
        <w:pStyle w:val="3"/>
        <w:rPr>
          <w:kern w:val="0"/>
        </w:rPr>
      </w:pPr>
      <w:r>
        <w:rPr>
          <w:rFonts w:hint="eastAsia"/>
          <w:kern w:val="0"/>
        </w:rPr>
        <w:t>四、考试的知识范围（课程复习大纲）</w:t>
      </w:r>
    </w:p>
    <w:p>
      <w:pPr>
        <w:pStyle w:val="4"/>
        <w:spacing w:after="120" w:line="415" w:lineRule="auto"/>
        <w:jc w:val="center"/>
        <w:rPr>
          <w:rFonts w:ascii="楷体_GB2312" w:eastAsia="楷体_GB2312"/>
        </w:rPr>
      </w:pPr>
      <w:r>
        <w:rPr>
          <w:rFonts w:hint="eastAsia" w:ascii="楷体_GB2312" w:eastAsia="楷体_GB2312"/>
        </w:rPr>
        <w:t>传播学理论部分</w:t>
      </w:r>
    </w:p>
    <w:p>
      <w:pPr>
        <w:spacing w:before="156" w:beforeLines="50" w:after="156" w:afterLines="50" w:line="360" w:lineRule="exact"/>
        <w:jc w:val="left"/>
        <w:rPr>
          <w:rFonts w:ascii="黑体" w:hAnsi="Times New Roman" w:eastAsia="黑体" w:cs="Times New Roman"/>
          <w:b/>
          <w:sz w:val="24"/>
          <w:szCs w:val="24"/>
        </w:rPr>
      </w:pPr>
      <w:r>
        <w:rPr>
          <w:rFonts w:hint="eastAsia" w:ascii="黑体" w:hAnsi="Times New Roman" w:eastAsia="黑体" w:cs="Times New Roman"/>
          <w:b/>
          <w:sz w:val="24"/>
          <w:szCs w:val="24"/>
        </w:rPr>
        <w:t>一、</w:t>
      </w:r>
      <w:r>
        <w:rPr>
          <w:rFonts w:ascii="黑体" w:hAnsi="Times New Roman" w:eastAsia="黑体" w:cs="Times New Roman"/>
          <w:b/>
          <w:sz w:val="24"/>
          <w:szCs w:val="24"/>
        </w:rPr>
        <w:t>传播</w:t>
      </w:r>
      <w:r>
        <w:rPr>
          <w:rFonts w:hint="eastAsia" w:ascii="黑体" w:hAnsi="Times New Roman" w:eastAsia="黑体" w:cs="Times New Roman"/>
          <w:b/>
          <w:sz w:val="24"/>
          <w:szCs w:val="24"/>
        </w:rPr>
        <w:t>学研究</w:t>
      </w:r>
      <w:r>
        <w:rPr>
          <w:rFonts w:ascii="黑体" w:hAnsi="Times New Roman" w:eastAsia="黑体" w:cs="Times New Roman"/>
          <w:b/>
          <w:sz w:val="24"/>
          <w:szCs w:val="24"/>
        </w:rPr>
        <w:t xml:space="preserve">对象与基本问题 </w:t>
      </w:r>
    </w:p>
    <w:p>
      <w:pPr>
        <w:snapToGrid w:val="0"/>
        <w:spacing w:line="380" w:lineRule="exact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（一）传播是什么</w:t>
      </w:r>
    </w:p>
    <w:p>
      <w:pPr>
        <w:snapToGrid w:val="0"/>
        <w:spacing w:line="380" w:lineRule="exact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（二）传播学研究对象</w:t>
      </w:r>
    </w:p>
    <w:p>
      <w:pPr>
        <w:snapToGrid w:val="0"/>
        <w:spacing w:line="380" w:lineRule="exact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（三）精神交往论与马克思主义传播观</w:t>
      </w:r>
    </w:p>
    <w:p>
      <w:pPr>
        <w:spacing w:before="156" w:beforeLines="50" w:after="156" w:afterLines="50" w:line="360" w:lineRule="exact"/>
        <w:jc w:val="left"/>
        <w:rPr>
          <w:rFonts w:ascii="黑体" w:hAnsi="Times New Roman" w:eastAsia="黑体" w:cs="Times New Roman"/>
          <w:b/>
          <w:sz w:val="24"/>
          <w:szCs w:val="24"/>
        </w:rPr>
      </w:pPr>
      <w:r>
        <w:rPr>
          <w:rFonts w:hint="eastAsia" w:ascii="黑体" w:hAnsi="Times New Roman" w:eastAsia="黑体" w:cs="Times New Roman"/>
          <w:b/>
          <w:sz w:val="24"/>
          <w:szCs w:val="24"/>
        </w:rPr>
        <w:t>二、传播研究史</w:t>
      </w:r>
      <w:r>
        <w:rPr>
          <w:rFonts w:ascii="黑体" w:hAnsi="Times New Roman" w:eastAsia="黑体" w:cs="Times New Roman"/>
          <w:b/>
          <w:sz w:val="24"/>
          <w:szCs w:val="24"/>
        </w:rPr>
        <w:t xml:space="preserve"> </w:t>
      </w:r>
    </w:p>
    <w:p>
      <w:pPr>
        <w:snapToGrid w:val="0"/>
        <w:spacing w:line="380" w:lineRule="exact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（一）传播学的孕育</w:t>
      </w:r>
    </w:p>
    <w:p>
      <w:pPr>
        <w:snapToGrid w:val="0"/>
        <w:spacing w:line="380" w:lineRule="exact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（二）传播学的创立与发展</w:t>
      </w:r>
      <w:r>
        <w:rPr>
          <w:kern w:val="0"/>
          <w:szCs w:val="21"/>
        </w:rPr>
        <w:t xml:space="preserve"> </w:t>
      </w:r>
    </w:p>
    <w:p>
      <w:pPr>
        <w:snapToGrid w:val="0"/>
        <w:spacing w:line="380" w:lineRule="exact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（三）大众传播研究</w:t>
      </w:r>
    </w:p>
    <w:p>
      <w:pPr>
        <w:spacing w:before="156" w:beforeLines="50" w:after="156" w:afterLines="50" w:line="360" w:lineRule="exact"/>
        <w:jc w:val="left"/>
        <w:rPr>
          <w:rFonts w:ascii="黑体" w:hAnsi="Times New Roman" w:eastAsia="黑体" w:cs="Times New Roman"/>
          <w:b/>
          <w:sz w:val="24"/>
          <w:szCs w:val="24"/>
        </w:rPr>
      </w:pPr>
      <w:r>
        <w:rPr>
          <w:rFonts w:hint="eastAsia" w:ascii="黑体" w:hAnsi="Times New Roman" w:eastAsia="黑体" w:cs="Times New Roman"/>
          <w:b/>
          <w:sz w:val="24"/>
          <w:szCs w:val="24"/>
        </w:rPr>
        <w:t>三、人际传播</w:t>
      </w:r>
      <w:r>
        <w:rPr>
          <w:rFonts w:ascii="黑体" w:hAnsi="Times New Roman" w:eastAsia="黑体" w:cs="Times New Roman"/>
          <w:b/>
          <w:sz w:val="24"/>
          <w:szCs w:val="24"/>
        </w:rPr>
        <w:t xml:space="preserve"> </w:t>
      </w:r>
    </w:p>
    <w:p>
      <w:pPr>
        <w:snapToGrid w:val="0"/>
        <w:spacing w:line="380" w:lineRule="exact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（一）符号与符号互动</w:t>
      </w:r>
    </w:p>
    <w:p>
      <w:pPr>
        <w:snapToGrid w:val="0"/>
        <w:spacing w:line="380" w:lineRule="exact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（二）人际传播</w:t>
      </w:r>
    </w:p>
    <w:p>
      <w:pPr>
        <w:spacing w:before="156" w:beforeLines="50" w:after="156" w:afterLines="50" w:line="360" w:lineRule="exact"/>
        <w:jc w:val="left"/>
        <w:rPr>
          <w:rFonts w:ascii="黑体" w:hAnsi="Times New Roman" w:eastAsia="黑体" w:cs="Times New Roman"/>
          <w:b/>
          <w:sz w:val="24"/>
          <w:szCs w:val="24"/>
        </w:rPr>
      </w:pPr>
      <w:r>
        <w:rPr>
          <w:rFonts w:hint="eastAsia" w:ascii="黑体" w:hAnsi="Times New Roman" w:eastAsia="黑体" w:cs="Times New Roman"/>
          <w:b/>
          <w:sz w:val="24"/>
          <w:szCs w:val="24"/>
        </w:rPr>
        <w:t>四、</w:t>
      </w:r>
      <w:r>
        <w:rPr>
          <w:rFonts w:ascii="黑体" w:hAnsi="Times New Roman" w:eastAsia="黑体" w:cs="Times New Roman"/>
          <w:b/>
          <w:sz w:val="24"/>
          <w:szCs w:val="24"/>
        </w:rPr>
        <w:t>群体传播</w:t>
      </w:r>
      <w:r>
        <w:rPr>
          <w:rFonts w:hint="eastAsia" w:ascii="黑体" w:hAnsi="Times New Roman" w:eastAsia="黑体" w:cs="Times New Roman"/>
          <w:b/>
          <w:sz w:val="24"/>
          <w:szCs w:val="24"/>
        </w:rPr>
        <w:t>、集合行为、</w:t>
      </w:r>
      <w:r>
        <w:rPr>
          <w:rFonts w:ascii="黑体" w:hAnsi="Times New Roman" w:eastAsia="黑体" w:cs="Times New Roman"/>
          <w:b/>
          <w:sz w:val="24"/>
          <w:szCs w:val="24"/>
        </w:rPr>
        <w:t xml:space="preserve">组织传播 </w:t>
      </w:r>
    </w:p>
    <w:p>
      <w:pPr>
        <w:snapToGrid w:val="0"/>
        <w:spacing w:line="380" w:lineRule="exact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（一）</w:t>
      </w:r>
      <w:r>
        <w:rPr>
          <w:kern w:val="0"/>
          <w:szCs w:val="21"/>
        </w:rPr>
        <w:t>群体</w:t>
      </w:r>
      <w:r>
        <w:rPr>
          <w:rFonts w:hint="eastAsia"/>
          <w:kern w:val="0"/>
          <w:szCs w:val="21"/>
        </w:rPr>
        <w:t>传播</w:t>
      </w:r>
    </w:p>
    <w:p>
      <w:pPr>
        <w:snapToGrid w:val="0"/>
        <w:spacing w:line="380" w:lineRule="exact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（二）集合行为及其传播机制</w:t>
      </w:r>
    </w:p>
    <w:p>
      <w:pPr>
        <w:snapToGrid w:val="0"/>
        <w:spacing w:line="380" w:lineRule="exact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（三）组织传播</w:t>
      </w:r>
    </w:p>
    <w:p>
      <w:pPr>
        <w:spacing w:before="156" w:beforeLines="50" w:after="156" w:afterLines="50" w:line="360" w:lineRule="exact"/>
        <w:jc w:val="left"/>
        <w:rPr>
          <w:rFonts w:ascii="黑体" w:hAnsi="Times New Roman" w:eastAsia="黑体" w:cs="Times New Roman"/>
          <w:b/>
          <w:sz w:val="24"/>
          <w:szCs w:val="24"/>
        </w:rPr>
      </w:pPr>
      <w:r>
        <w:rPr>
          <w:rFonts w:hint="eastAsia" w:ascii="黑体" w:hAnsi="Times New Roman" w:eastAsia="黑体" w:cs="Times New Roman"/>
          <w:b/>
          <w:sz w:val="24"/>
          <w:szCs w:val="24"/>
        </w:rPr>
        <w:t>五、</w:t>
      </w:r>
      <w:r>
        <w:rPr>
          <w:rFonts w:ascii="黑体" w:hAnsi="Times New Roman" w:eastAsia="黑体" w:cs="Times New Roman"/>
          <w:b/>
          <w:sz w:val="24"/>
          <w:szCs w:val="24"/>
        </w:rPr>
        <w:t xml:space="preserve">大众传播 </w:t>
      </w:r>
    </w:p>
    <w:p>
      <w:pPr>
        <w:snapToGrid w:val="0"/>
        <w:spacing w:line="380" w:lineRule="exact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（一）</w:t>
      </w:r>
      <w:r>
        <w:rPr>
          <w:kern w:val="0"/>
          <w:szCs w:val="21"/>
        </w:rPr>
        <w:t xml:space="preserve">大众传播 </w:t>
      </w:r>
    </w:p>
    <w:p>
      <w:pPr>
        <w:snapToGrid w:val="0"/>
        <w:spacing w:line="380" w:lineRule="exact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（二）控制分析</w:t>
      </w:r>
    </w:p>
    <w:p>
      <w:pPr>
        <w:snapToGrid w:val="0"/>
        <w:spacing w:line="380" w:lineRule="exact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（三）媒介分析</w:t>
      </w:r>
    </w:p>
    <w:p>
      <w:pPr>
        <w:snapToGrid w:val="0"/>
        <w:spacing w:line="380" w:lineRule="exact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（四）受众分析</w:t>
      </w:r>
    </w:p>
    <w:p>
      <w:pPr>
        <w:snapToGrid w:val="0"/>
        <w:spacing w:line="380" w:lineRule="exact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（五）效果分析：劝服与态度改变</w:t>
      </w:r>
    </w:p>
    <w:p>
      <w:pPr>
        <w:spacing w:before="156" w:beforeLines="50" w:after="156" w:afterLines="50" w:line="360" w:lineRule="exact"/>
        <w:jc w:val="left"/>
        <w:rPr>
          <w:rFonts w:ascii="黑体" w:hAnsi="Times New Roman" w:eastAsia="黑体" w:cs="Times New Roman"/>
          <w:b/>
          <w:sz w:val="24"/>
          <w:szCs w:val="24"/>
        </w:rPr>
      </w:pPr>
      <w:r>
        <w:rPr>
          <w:rFonts w:hint="eastAsia" w:ascii="黑体" w:hAnsi="Times New Roman" w:eastAsia="黑体" w:cs="Times New Roman"/>
          <w:b/>
          <w:sz w:val="24"/>
          <w:szCs w:val="24"/>
        </w:rPr>
        <w:t>六、几种主要的大众传播效果理论</w:t>
      </w:r>
    </w:p>
    <w:p>
      <w:pPr>
        <w:snapToGrid w:val="0"/>
        <w:spacing w:line="380" w:lineRule="exact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（一）“议程设置功能”理论</w:t>
      </w:r>
    </w:p>
    <w:p>
      <w:pPr>
        <w:snapToGrid w:val="0"/>
        <w:spacing w:line="380" w:lineRule="exact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（二）“沉默的螺旋”理论</w:t>
      </w:r>
    </w:p>
    <w:p>
      <w:pPr>
        <w:snapToGrid w:val="0"/>
        <w:spacing w:line="380" w:lineRule="exact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（三）“培养”理论 </w:t>
      </w:r>
    </w:p>
    <w:p>
      <w:pPr>
        <w:snapToGrid w:val="0"/>
        <w:spacing w:line="380" w:lineRule="exact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（四）框架理论</w:t>
      </w:r>
    </w:p>
    <w:p>
      <w:pPr>
        <w:snapToGrid w:val="0"/>
        <w:spacing w:line="380" w:lineRule="exact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（五）“知沟”理论与数字鸿沟</w:t>
      </w:r>
    </w:p>
    <w:p>
      <w:pPr>
        <w:snapToGrid w:val="0"/>
        <w:spacing w:line="380" w:lineRule="exact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（六）第三人效果</w:t>
      </w:r>
    </w:p>
    <w:p>
      <w:pPr>
        <w:spacing w:before="156" w:beforeLines="50" w:after="156" w:afterLines="50" w:line="360" w:lineRule="exact"/>
        <w:jc w:val="left"/>
        <w:rPr>
          <w:rFonts w:ascii="黑体" w:hAnsi="Times New Roman" w:eastAsia="黑体" w:cs="Times New Roman"/>
          <w:b/>
          <w:sz w:val="24"/>
          <w:szCs w:val="24"/>
        </w:rPr>
      </w:pPr>
      <w:r>
        <w:rPr>
          <w:rFonts w:hint="eastAsia" w:ascii="黑体" w:hAnsi="Times New Roman" w:eastAsia="黑体" w:cs="Times New Roman"/>
          <w:b/>
          <w:sz w:val="24"/>
          <w:szCs w:val="24"/>
        </w:rPr>
        <w:t>七、批判学派</w:t>
      </w:r>
    </w:p>
    <w:p>
      <w:pPr>
        <w:snapToGrid w:val="0"/>
        <w:spacing w:line="380" w:lineRule="exact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（一）法兰克福学派与批判理论的兴起</w:t>
      </w:r>
    </w:p>
    <w:p>
      <w:pPr>
        <w:snapToGrid w:val="0"/>
        <w:spacing w:line="380" w:lineRule="exact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（二）传播政治经济学派</w:t>
      </w:r>
    </w:p>
    <w:p>
      <w:pPr>
        <w:snapToGrid w:val="0"/>
        <w:spacing w:line="380" w:lineRule="exact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（三）“文化研究”学派</w:t>
      </w:r>
    </w:p>
    <w:p>
      <w:pPr>
        <w:snapToGrid w:val="0"/>
        <w:spacing w:line="380" w:lineRule="exact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（四）多伦多学派</w:t>
      </w:r>
    </w:p>
    <w:p>
      <w:pPr>
        <w:snapToGrid w:val="0"/>
        <w:spacing w:line="380" w:lineRule="exact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（五）其他流派</w:t>
      </w:r>
    </w:p>
    <w:p>
      <w:pPr>
        <w:pStyle w:val="4"/>
        <w:jc w:val="center"/>
        <w:rPr>
          <w:rFonts w:ascii="楷体_GB2312" w:eastAsia="楷体_GB2312"/>
        </w:rPr>
      </w:pPr>
      <w:r>
        <w:rPr>
          <w:rFonts w:hint="eastAsia" w:ascii="楷体_GB2312" w:eastAsia="楷体_GB2312"/>
        </w:rPr>
        <w:t>传播研究方法部分</w:t>
      </w:r>
    </w:p>
    <w:p>
      <w:pPr>
        <w:spacing w:before="156" w:beforeLines="50" w:after="156" w:afterLines="50" w:line="360" w:lineRule="exact"/>
        <w:jc w:val="left"/>
        <w:rPr>
          <w:rFonts w:ascii="黑体" w:hAnsi="Times New Roman" w:eastAsia="黑体" w:cs="Times New Roman"/>
          <w:b/>
          <w:sz w:val="24"/>
          <w:szCs w:val="24"/>
        </w:rPr>
      </w:pPr>
      <w:r>
        <w:rPr>
          <w:rFonts w:hint="eastAsia" w:ascii="黑体" w:hAnsi="Times New Roman" w:eastAsia="黑体" w:cs="Times New Roman"/>
          <w:b/>
          <w:sz w:val="24"/>
          <w:szCs w:val="24"/>
        </w:rPr>
        <w:t>一、传播研究的原理与过程</w:t>
      </w:r>
    </w:p>
    <w:p>
      <w:pPr>
        <w:snapToGrid w:val="0"/>
        <w:spacing w:line="380" w:lineRule="exact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（一）为什么要学习研究方法</w:t>
      </w:r>
    </w:p>
    <w:p>
      <w:pPr>
        <w:snapToGrid w:val="0"/>
        <w:spacing w:line="380" w:lineRule="exact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（二）不同类型的研究</w:t>
      </w:r>
    </w:p>
    <w:p>
      <w:pPr>
        <w:snapToGrid w:val="0"/>
        <w:spacing w:line="380" w:lineRule="exact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（三）理论与传播研究范式</w:t>
      </w:r>
    </w:p>
    <w:p>
      <w:pPr>
        <w:snapToGrid w:val="0"/>
        <w:spacing w:line="380" w:lineRule="exact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（四）研究过程</w:t>
      </w:r>
    </w:p>
    <w:p>
      <w:pPr>
        <w:snapToGrid w:val="0"/>
        <w:spacing w:line="380" w:lineRule="exact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（五）量化与质化研究方法</w:t>
      </w:r>
    </w:p>
    <w:p>
      <w:pPr>
        <w:spacing w:before="156" w:beforeLines="50" w:after="156" w:afterLines="50" w:line="360" w:lineRule="exact"/>
        <w:jc w:val="left"/>
        <w:rPr>
          <w:rFonts w:ascii="黑体" w:hAnsi="Times New Roman" w:eastAsia="黑体" w:cs="Times New Roman"/>
          <w:b/>
          <w:sz w:val="24"/>
          <w:szCs w:val="24"/>
        </w:rPr>
      </w:pPr>
      <w:r>
        <w:rPr>
          <w:rFonts w:hint="eastAsia" w:ascii="黑体" w:hAnsi="Times New Roman" w:eastAsia="黑体" w:cs="Times New Roman"/>
          <w:b/>
          <w:sz w:val="24"/>
          <w:szCs w:val="24"/>
        </w:rPr>
        <w:t>二、研究基础</w:t>
      </w:r>
    </w:p>
    <w:p>
      <w:pPr>
        <w:snapToGrid w:val="0"/>
        <w:spacing w:line="380" w:lineRule="exact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（一）选题与文献回顾</w:t>
      </w:r>
    </w:p>
    <w:p>
      <w:pPr>
        <w:snapToGrid w:val="0"/>
        <w:spacing w:line="380" w:lineRule="exact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（二）研究设计</w:t>
      </w:r>
    </w:p>
    <w:p>
      <w:pPr>
        <w:snapToGrid w:val="0"/>
        <w:spacing w:line="380" w:lineRule="exact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（三）测量与操作化</w:t>
      </w:r>
    </w:p>
    <w:p>
      <w:pPr>
        <w:snapToGrid w:val="0"/>
        <w:spacing w:line="380" w:lineRule="exact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（四）抽样</w:t>
      </w:r>
    </w:p>
    <w:p>
      <w:pPr>
        <w:spacing w:before="156" w:beforeLines="50" w:after="156" w:afterLines="50" w:line="360" w:lineRule="exact"/>
        <w:jc w:val="left"/>
        <w:rPr>
          <w:rFonts w:ascii="黑体" w:hAnsi="Times New Roman" w:eastAsia="黑体" w:cs="Times New Roman"/>
          <w:b/>
          <w:sz w:val="24"/>
          <w:szCs w:val="24"/>
        </w:rPr>
      </w:pPr>
      <w:r>
        <w:rPr>
          <w:rFonts w:hint="eastAsia" w:ascii="黑体" w:hAnsi="Times New Roman" w:eastAsia="黑体" w:cs="Times New Roman"/>
          <w:b/>
          <w:sz w:val="24"/>
          <w:szCs w:val="24"/>
        </w:rPr>
        <w:t>三、量化研究方法与传播研究</w:t>
      </w:r>
    </w:p>
    <w:p>
      <w:pPr>
        <w:snapToGrid w:val="0"/>
        <w:spacing w:line="380" w:lineRule="exact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（一）调查法</w:t>
      </w:r>
    </w:p>
    <w:p>
      <w:pPr>
        <w:snapToGrid w:val="0"/>
        <w:spacing w:line="380" w:lineRule="exact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（二）实验法</w:t>
      </w:r>
    </w:p>
    <w:p>
      <w:pPr>
        <w:snapToGrid w:val="0"/>
        <w:spacing w:line="380" w:lineRule="exact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（三）内容分析法</w:t>
      </w:r>
    </w:p>
    <w:p>
      <w:pPr>
        <w:snapToGrid w:val="0"/>
        <w:spacing w:line="380" w:lineRule="exact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（四）量化的资料分析与表达</w:t>
      </w:r>
    </w:p>
    <w:p>
      <w:pPr>
        <w:spacing w:before="156" w:beforeLines="50" w:after="156" w:afterLines="50" w:line="360" w:lineRule="exact"/>
        <w:jc w:val="left"/>
        <w:rPr>
          <w:rFonts w:ascii="黑体" w:hAnsi="Times New Roman" w:eastAsia="黑体" w:cs="Times New Roman"/>
          <w:b/>
          <w:sz w:val="24"/>
          <w:szCs w:val="24"/>
        </w:rPr>
      </w:pPr>
      <w:r>
        <w:rPr>
          <w:rFonts w:hint="eastAsia" w:ascii="黑体" w:hAnsi="Times New Roman" w:eastAsia="黑体" w:cs="Times New Roman"/>
          <w:b/>
          <w:sz w:val="24"/>
          <w:szCs w:val="24"/>
        </w:rPr>
        <w:t>四、质化研究方法与传播研究</w:t>
      </w:r>
    </w:p>
    <w:p>
      <w:pPr>
        <w:snapToGrid w:val="0"/>
        <w:spacing w:line="380" w:lineRule="exact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（一）质化田野研究</w:t>
      </w:r>
    </w:p>
    <w:p>
      <w:pPr>
        <w:snapToGrid w:val="0"/>
        <w:spacing w:line="380" w:lineRule="exact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（二）文本分析法</w:t>
      </w:r>
    </w:p>
    <w:p>
      <w:pPr>
        <w:snapToGrid w:val="0"/>
        <w:spacing w:line="380" w:lineRule="exact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（三）质化的资料分析与表达</w:t>
      </w:r>
    </w:p>
    <w:p>
      <w:pPr>
        <w:spacing w:before="156" w:beforeLines="50" w:after="156" w:afterLines="50" w:line="360" w:lineRule="exact"/>
        <w:jc w:val="left"/>
        <w:rPr>
          <w:rFonts w:ascii="黑体" w:hAnsi="Times New Roman" w:eastAsia="黑体" w:cs="Times New Roman"/>
          <w:b/>
          <w:sz w:val="24"/>
          <w:szCs w:val="24"/>
        </w:rPr>
      </w:pPr>
      <w:r>
        <w:rPr>
          <w:rFonts w:hint="eastAsia" w:ascii="黑体" w:hAnsi="Times New Roman" w:eastAsia="黑体" w:cs="Times New Roman"/>
          <w:b/>
          <w:sz w:val="24"/>
          <w:szCs w:val="24"/>
        </w:rPr>
        <w:t>五、传播研究的其他方法与问题</w:t>
      </w:r>
    </w:p>
    <w:p>
      <w:pPr>
        <w:snapToGrid w:val="0"/>
        <w:spacing w:line="380" w:lineRule="exact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（一）文献研究</w:t>
      </w:r>
    </w:p>
    <w:p>
      <w:pPr>
        <w:snapToGrid w:val="0"/>
        <w:spacing w:line="380" w:lineRule="exact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（二）撰写研究报告</w:t>
      </w:r>
    </w:p>
    <w:p>
      <w:pPr>
        <w:spacing w:before="156" w:beforeLines="50" w:after="156" w:afterLines="50" w:line="360" w:lineRule="exact"/>
        <w:jc w:val="left"/>
        <w:rPr>
          <w:rFonts w:ascii="黑体" w:hAnsi="Times New Roman" w:eastAsia="黑体" w:cs="Times New Roman"/>
          <w:b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70"/>
    <w:rsid w:val="0003013F"/>
    <w:rsid w:val="00045C51"/>
    <w:rsid w:val="000B4438"/>
    <w:rsid w:val="000E64FE"/>
    <w:rsid w:val="00191A4B"/>
    <w:rsid w:val="001A2210"/>
    <w:rsid w:val="001B59D9"/>
    <w:rsid w:val="001D3E87"/>
    <w:rsid w:val="00202A70"/>
    <w:rsid w:val="00234357"/>
    <w:rsid w:val="00234F0E"/>
    <w:rsid w:val="002C4D68"/>
    <w:rsid w:val="002F2126"/>
    <w:rsid w:val="003660EF"/>
    <w:rsid w:val="003B416A"/>
    <w:rsid w:val="003E2C3C"/>
    <w:rsid w:val="003F36CC"/>
    <w:rsid w:val="004A2EDF"/>
    <w:rsid w:val="004F42BB"/>
    <w:rsid w:val="00532521"/>
    <w:rsid w:val="005B1A00"/>
    <w:rsid w:val="005D7733"/>
    <w:rsid w:val="00662D58"/>
    <w:rsid w:val="006F741C"/>
    <w:rsid w:val="00720A34"/>
    <w:rsid w:val="008114EB"/>
    <w:rsid w:val="00846E90"/>
    <w:rsid w:val="00853F56"/>
    <w:rsid w:val="00854A43"/>
    <w:rsid w:val="008A2B1C"/>
    <w:rsid w:val="008A39C2"/>
    <w:rsid w:val="0091147F"/>
    <w:rsid w:val="00914462"/>
    <w:rsid w:val="009F1504"/>
    <w:rsid w:val="00A07FC2"/>
    <w:rsid w:val="00A36082"/>
    <w:rsid w:val="00A761EF"/>
    <w:rsid w:val="00B02EDF"/>
    <w:rsid w:val="00B35A8F"/>
    <w:rsid w:val="00B76DB1"/>
    <w:rsid w:val="00B97B8F"/>
    <w:rsid w:val="00BA5CC0"/>
    <w:rsid w:val="00C22BDE"/>
    <w:rsid w:val="00C931E2"/>
    <w:rsid w:val="00D36C1E"/>
    <w:rsid w:val="00D864A0"/>
    <w:rsid w:val="00E047CA"/>
    <w:rsid w:val="00E10B97"/>
    <w:rsid w:val="00E2572E"/>
    <w:rsid w:val="00E32297"/>
    <w:rsid w:val="00E818C3"/>
    <w:rsid w:val="00EA07E8"/>
    <w:rsid w:val="00EB100A"/>
    <w:rsid w:val="00EB35D4"/>
    <w:rsid w:val="00EC2574"/>
    <w:rsid w:val="00F53ACF"/>
    <w:rsid w:val="00F80F12"/>
    <w:rsid w:val="00FF3B6E"/>
    <w:rsid w:val="15ED1788"/>
    <w:rsid w:val="56E9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  <w:lang w:val="zh-CN" w:eastAsia="zh-CN"/>
    </w:rPr>
  </w:style>
  <w:style w:type="paragraph" w:styleId="3">
    <w:name w:val="heading 2"/>
    <w:basedOn w:val="1"/>
    <w:next w:val="1"/>
    <w:link w:val="13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标题 1 字符"/>
    <w:basedOn w:val="8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  <w:lang w:val="zh-CN" w:eastAsia="zh-CN"/>
    </w:rPr>
  </w:style>
  <w:style w:type="character" w:customStyle="1" w:styleId="13">
    <w:name w:val="标题 2 字符"/>
    <w:basedOn w:val="8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4">
    <w:name w:val="标题 3 字符"/>
    <w:basedOn w:val="8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175</Words>
  <Characters>998</Characters>
  <Lines>8</Lines>
  <Paragraphs>2</Paragraphs>
  <TotalTime>462</TotalTime>
  <ScaleCrop>false</ScaleCrop>
  <LinksUpToDate>false</LinksUpToDate>
  <CharactersWithSpaces>1171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2018-05-29T15:43:00Z</dcterms:created>
  <dc:creator>mmnn</dc:creator>
  <cp:lastModifiedBy>Administrator</cp:lastModifiedBy>
  <cp:lastPrinted>2018-06-04T07:08:00Z</cp:lastPrinted>
  <dcterms:modified xsi:type="dcterms:W3CDTF">2021-09-13T13:01:50Z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