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</w:t>
      </w:r>
      <w:r>
        <w:rPr>
          <w:rFonts w:hint="eastAsia" w:ascii="微软雅黑" w:hAnsi="微软雅黑" w:eastAsia="微软雅黑" w:cs="微软雅黑"/>
          <w:b/>
          <w:bCs/>
          <w:sz w:val="28"/>
        </w:rPr>
        <w:sym w:font="Wingdings 2" w:char="F052"/>
      </w:r>
      <w:r>
        <w:rPr>
          <w:rFonts w:hint="eastAsia" w:eastAsia="微软雅黑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博士</w:t>
      </w:r>
      <w:r>
        <w:rPr>
          <w:rFonts w:hint="eastAsia" w:ascii="微软雅黑" w:hAnsi="微软雅黑" w:eastAsia="微软雅黑" w:cs="微软雅黑"/>
          <w:b/>
          <w:bCs/>
          <w:sz w:val="28"/>
        </w:rPr>
        <w:t>□</w:t>
      </w:r>
      <w:r>
        <w:rPr>
          <w:rFonts w:hint="eastAsia"/>
          <w:b/>
          <w:bCs/>
          <w:sz w:val="28"/>
        </w:rPr>
        <w:t>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科目代码：F42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科目名称：法学综合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掌握并理解法学基本理论，熟悉宪法及基本法律的基本概念、原理、原则及制度，准确运用法律规范解决实际法律问题，具备从事法律职业所要求的法律知识、法律术语、思维习惯、法律方法和职业道德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一、法学理论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1.法的本体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2.法的价值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3.法律关系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4.法的运行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5.法与社会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二、宪法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1.宪法基本理论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2.国家基本制度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3.公民的基本权利和义务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4.国家机构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5.宪法的实施与保障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三、行政法与行政诉讼法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1.行政法的基本概念与原则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2.行政主体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3.行政行为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4.行政程序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5.行政复议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6.行政诉讼的范围、管辖与程序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7.国家赔偿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四、刑法与刑事诉讼法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1.刑法基本概念与原则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2.犯罪构成与形态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3.刑罚裁量与执行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4.刑事诉讼法的基本原则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5.刑事诉讼的专门机关与诉讼参与人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6.刑事诉讼的管辖、回避与程序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7.执行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五、民法与民事诉讼法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1.民法的基本概念与基本原则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2.民事主体、民事法律行为、民事法律关系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3.物权、债权、侵权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4.婚姻与继承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5.民事诉讼的基本概念与基本原则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6.民事诉讼的管辖与程序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7.执行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六、商法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1.公司法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2.合伙企业法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3.票据法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4.证券法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5.保险法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6.海商法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七、经济法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1.竞争法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2.消费者权益保护法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3.财税法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4.劳动与社会保障法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5.房地产法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6.环境保护法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八、国际法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1.国际法的主体与国际法律责任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2.国际法上的空间划分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3.外交关系法与领事关系法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4.条约法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5.国际争端解决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6.战争与武装冲突法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九、国际私法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1.国际私法的主体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2.法律冲突、冲突规范和准据法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3.适用冲突规范的制度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4.国际民事关系的法律适用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5.国际民商事争议的解决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6.区际法律问题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十、国际经济法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1.国际货物买卖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2.国际货物运输与保险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3.国际贸易支付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4.对外贸易管理制度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5.世界贸易组织与规则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/>
          <w:sz w:val="24"/>
        </w:rPr>
        <w:t>一、命题说明：题型包括</w:t>
      </w:r>
      <w:r>
        <w:rPr>
          <w:rFonts w:hint="eastAsia" w:ascii="宋体" w:hAnsi="宋体"/>
          <w:sz w:val="24"/>
        </w:rPr>
        <w:t>选择题（40分），论述题（50分），案例分析题（60分）。分值比例为法学理论（15分），宪法（10分），行政法与行政诉讼法（20</w:t>
      </w:r>
      <w:r>
        <w:rPr>
          <w:rFonts w:hint="eastAsia" w:ascii="宋体" w:hAnsi="宋体" w:cs="宋体"/>
          <w:color w:val="000000"/>
          <w:kern w:val="0"/>
          <w:szCs w:val="21"/>
        </w:rPr>
        <w:t>分），刑法与刑事诉讼法（20分），民法与民事诉讼法（20分），商法（15分），经济法（15分），国际法、国际私法、国际贸易法（35分）。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二、其他规定：本考试为闭卷笔试，总分150分，考试时间为180分钟。</w:t>
      </w:r>
      <w:r>
        <w:rPr>
          <w:sz w:val="24"/>
        </w:rPr>
        <w:t>本科目考试不得使用计算器。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C66F8"/>
    <w:rsid w:val="000D00F4"/>
    <w:rsid w:val="0010484C"/>
    <w:rsid w:val="00137E9B"/>
    <w:rsid w:val="001726CD"/>
    <w:rsid w:val="001E3CD1"/>
    <w:rsid w:val="0021539C"/>
    <w:rsid w:val="002559B3"/>
    <w:rsid w:val="002C3975"/>
    <w:rsid w:val="002C7368"/>
    <w:rsid w:val="0037049F"/>
    <w:rsid w:val="003B70A9"/>
    <w:rsid w:val="003F3CEB"/>
    <w:rsid w:val="00402FA4"/>
    <w:rsid w:val="00426082"/>
    <w:rsid w:val="00492BD7"/>
    <w:rsid w:val="004B2720"/>
    <w:rsid w:val="00507A7E"/>
    <w:rsid w:val="00550C3B"/>
    <w:rsid w:val="006D415B"/>
    <w:rsid w:val="006F4258"/>
    <w:rsid w:val="00712464"/>
    <w:rsid w:val="00721868"/>
    <w:rsid w:val="00743900"/>
    <w:rsid w:val="00757B72"/>
    <w:rsid w:val="007B5238"/>
    <w:rsid w:val="007F6808"/>
    <w:rsid w:val="008323CB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92F13"/>
    <w:rsid w:val="00AB6347"/>
    <w:rsid w:val="00B15F78"/>
    <w:rsid w:val="00BA1CEA"/>
    <w:rsid w:val="00BC0FD6"/>
    <w:rsid w:val="00BE3A71"/>
    <w:rsid w:val="00C00B34"/>
    <w:rsid w:val="00C20319"/>
    <w:rsid w:val="00C40CA5"/>
    <w:rsid w:val="00C4241C"/>
    <w:rsid w:val="00C75F1F"/>
    <w:rsid w:val="00C76679"/>
    <w:rsid w:val="00CB5263"/>
    <w:rsid w:val="00D250B8"/>
    <w:rsid w:val="00D519F6"/>
    <w:rsid w:val="00D66AB1"/>
    <w:rsid w:val="00D8137F"/>
    <w:rsid w:val="00D96A78"/>
    <w:rsid w:val="00DD6D7D"/>
    <w:rsid w:val="00DE681E"/>
    <w:rsid w:val="00E44D6C"/>
    <w:rsid w:val="00E97344"/>
    <w:rsid w:val="00EC22AC"/>
    <w:rsid w:val="00ED0EBC"/>
    <w:rsid w:val="00EF0402"/>
    <w:rsid w:val="00F430C9"/>
    <w:rsid w:val="00F72658"/>
    <w:rsid w:val="00FC7C9D"/>
    <w:rsid w:val="00FD3A08"/>
    <w:rsid w:val="0D0308B6"/>
    <w:rsid w:val="1269319A"/>
    <w:rsid w:val="2CD0252A"/>
    <w:rsid w:val="43011691"/>
    <w:rsid w:val="4B5E0134"/>
    <w:rsid w:val="4B887006"/>
    <w:rsid w:val="4C9152DE"/>
    <w:rsid w:val="550A1C2E"/>
    <w:rsid w:val="6A80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2021-09-13T06:39:15Z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