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eastAsia="黑体"/>
          <w:b/>
          <w:color w:val="000000"/>
          <w:sz w:val="32"/>
          <w:szCs w:val="32"/>
        </w:rPr>
      </w:pPr>
      <w:bookmarkStart w:id="1" w:name="_GoBack"/>
      <w:bookmarkEnd w:id="1"/>
      <w:r>
        <w:rPr>
          <w:rFonts w:hint="eastAsia" w:ascii="黑体" w:eastAsia="黑体"/>
          <w:b/>
          <w:color w:val="000000"/>
          <w:sz w:val="32"/>
          <w:szCs w:val="32"/>
        </w:rPr>
        <w:t>华侨大学硕士研究生招生考试</w:t>
      </w:r>
    </w:p>
    <w:p>
      <w:pPr>
        <w:spacing w:line="400" w:lineRule="exact"/>
        <w:jc w:val="center"/>
        <w:rPr>
          <w:rFonts w:hint="eastAsia" w:ascii="黑体" w:eastAsia="黑体"/>
          <w:b/>
          <w:color w:val="000000"/>
          <w:sz w:val="32"/>
          <w:szCs w:val="32"/>
        </w:rPr>
      </w:pPr>
      <w:r>
        <w:rPr>
          <w:rFonts w:hint="eastAsia" w:ascii="黑体" w:eastAsia="黑体"/>
          <w:b/>
          <w:color w:val="000000"/>
          <w:sz w:val="32"/>
          <w:szCs w:val="32"/>
        </w:rPr>
        <w:t>初试自命题科目考试大纲</w:t>
      </w:r>
    </w:p>
    <w:p>
      <w:pPr>
        <w:spacing w:before="312" w:beforeLines="100" w:after="31" w:afterLines="10" w:line="360" w:lineRule="auto"/>
        <w:jc w:val="left"/>
        <w:rPr>
          <w:rFonts w:hint="eastAsia"/>
          <w:b/>
          <w:color w:val="000000"/>
          <w:szCs w:val="21"/>
          <w:u w:val="single"/>
        </w:rPr>
      </w:pPr>
      <w:r>
        <w:rPr>
          <w:rFonts w:hint="eastAsia"/>
          <w:b/>
          <w:color w:val="000000"/>
          <w:szCs w:val="21"/>
        </w:rPr>
        <w:t>招生学院：</w:t>
      </w:r>
      <w:r>
        <w:rPr>
          <w:rFonts w:hint="eastAsia"/>
          <w:color w:val="000000"/>
          <w:szCs w:val="21"/>
          <w:u w:val="single"/>
        </w:rPr>
        <w:t xml:space="preserve">             旅游学院             </w:t>
      </w:r>
      <w:r>
        <w:rPr>
          <w:rFonts w:hint="eastAsia"/>
          <w:b/>
          <w:color w:val="000000"/>
          <w:szCs w:val="21"/>
        </w:rPr>
        <w:t>招生专业：</w:t>
      </w:r>
      <w:r>
        <w:rPr>
          <w:rFonts w:hint="eastAsia"/>
          <w:color w:val="000000"/>
          <w:sz w:val="24"/>
          <w:u w:val="single"/>
        </w:rPr>
        <w:t xml:space="preserve">      旅游管理                </w:t>
      </w:r>
      <w:r>
        <w:rPr>
          <w:rFonts w:hint="eastAsia"/>
          <w:color w:val="000000"/>
          <w:sz w:val="24"/>
        </w:rPr>
        <w:t xml:space="preserve">  </w:t>
      </w:r>
    </w:p>
    <w:p>
      <w:pPr>
        <w:rPr>
          <w:rFonts w:hint="eastAsia"/>
          <w:b/>
          <w:color w:val="000000"/>
          <w:szCs w:val="21"/>
          <w:u w:val="single"/>
        </w:rPr>
      </w:pPr>
      <w:r>
        <w:rPr>
          <w:rFonts w:hint="eastAsia"/>
          <w:b/>
          <w:color w:val="000000"/>
          <w:szCs w:val="21"/>
        </w:rPr>
        <w:t>科目名称：</w:t>
      </w:r>
      <w:r>
        <w:rPr>
          <w:rFonts w:hint="eastAsia"/>
          <w:b/>
          <w:color w:val="000000"/>
          <w:szCs w:val="21"/>
          <w:u w:val="single"/>
        </w:rPr>
        <w:t xml:space="preserve">    </w:t>
      </w:r>
      <w:r>
        <w:rPr>
          <w:rFonts w:hint="eastAsia"/>
          <w:color w:val="000000"/>
          <w:szCs w:val="21"/>
          <w:u w:val="single"/>
        </w:rPr>
        <w:t xml:space="preserve">旅游学综合 </w:t>
      </w:r>
      <w:r>
        <w:rPr>
          <w:rFonts w:hint="eastAsia"/>
          <w:b/>
          <w:color w:val="000000"/>
          <w:szCs w:val="21"/>
          <w:u w:val="single"/>
        </w:rPr>
        <w:t xml:space="preserve">       </w:t>
      </w:r>
    </w:p>
    <w:p>
      <w:pPr>
        <w:numPr>
          <w:ilvl w:val="0"/>
          <w:numId w:val="1"/>
        </w:numPr>
        <w:spacing w:before="312" w:beforeLines="100" w:after="31" w:afterLines="10" w:line="360" w:lineRule="auto"/>
        <w:rPr>
          <w:rFonts w:hint="eastAsia"/>
          <w:b/>
          <w:color w:val="000000"/>
          <w:szCs w:val="21"/>
        </w:rPr>
      </w:pPr>
      <w:r>
        <w:rPr>
          <w:rFonts w:hint="eastAsia"/>
          <w:b/>
          <w:color w:val="000000"/>
          <w:sz w:val="24"/>
        </w:rPr>
        <w:t xml:space="preserve">考试形式与试卷结构 </w:t>
      </w:r>
      <w:r>
        <w:rPr>
          <w:rFonts w:hint="eastAsia"/>
          <w:b/>
          <w:color w:val="000000"/>
          <w:szCs w:val="21"/>
        </w:rPr>
        <w:t xml:space="preserve">   </w:t>
      </w:r>
    </w:p>
    <w:p>
      <w:pPr>
        <w:pStyle w:val="11"/>
        <w:numPr>
          <w:ilvl w:val="0"/>
          <w:numId w:val="2"/>
        </w:numPr>
        <w:spacing w:before="31" w:beforeLines="10" w:after="31" w:afterLines="10" w:line="360" w:lineRule="auto"/>
        <w:ind w:firstLine="422"/>
        <w:rPr>
          <w:rFonts w:hint="eastAsia"/>
          <w:b/>
          <w:color w:val="000000"/>
          <w:szCs w:val="21"/>
        </w:rPr>
      </w:pPr>
      <w:r>
        <w:rPr>
          <w:rFonts w:hint="eastAsia"/>
          <w:b/>
          <w:color w:val="000000"/>
          <w:szCs w:val="21"/>
        </w:rPr>
        <w:t>试卷满分值及考试时间</w:t>
      </w:r>
    </w:p>
    <w:p>
      <w:pPr>
        <w:pStyle w:val="11"/>
        <w:spacing w:before="31" w:beforeLines="10" w:after="31" w:afterLines="10" w:line="360" w:lineRule="auto"/>
        <w:ind w:firstLine="0" w:firstLineChars="0"/>
        <w:rPr>
          <w:rFonts w:eastAsia="新宋体"/>
          <w:color w:val="000000"/>
          <w:szCs w:val="21"/>
        </w:rPr>
      </w:pPr>
      <w:r>
        <w:rPr>
          <w:rFonts w:hint="eastAsia" w:ascii="新宋体" w:hAnsi="新宋体" w:eastAsia="新宋体"/>
          <w:b/>
          <w:bCs/>
          <w:color w:val="000000"/>
          <w:szCs w:val="21"/>
        </w:rPr>
        <w:t xml:space="preserve">   </w:t>
      </w:r>
      <w:r>
        <w:rPr>
          <w:rFonts w:hint="eastAsia" w:ascii="楷体" w:hAnsi="楷体" w:eastAsia="楷体" w:cs="楷体"/>
          <w:b/>
          <w:bCs/>
          <w:color w:val="000000"/>
          <w:szCs w:val="21"/>
        </w:rPr>
        <w:t xml:space="preserve"> </w:t>
      </w:r>
      <w:r>
        <w:rPr>
          <w:rFonts w:hint="eastAsia" w:ascii="楷体" w:hAnsi="楷体" w:eastAsia="楷体" w:cs="楷体"/>
          <w:b/>
          <w:bCs/>
          <w:color w:val="000000"/>
          <w:sz w:val="24"/>
        </w:rPr>
        <w:t xml:space="preserve"> </w:t>
      </w:r>
      <w:r>
        <w:rPr>
          <w:rFonts w:eastAsia="新宋体"/>
          <w:color w:val="000000"/>
          <w:szCs w:val="21"/>
        </w:rPr>
        <w:t>本试卷满分为150分，考试时间为180分钟。</w:t>
      </w:r>
    </w:p>
    <w:p>
      <w:pPr>
        <w:pStyle w:val="12"/>
        <w:spacing w:before="31" w:beforeLines="10" w:after="31" w:afterLines="10" w:line="360" w:lineRule="auto"/>
        <w:ind w:firstLine="0" w:firstLineChars="0"/>
        <w:rPr>
          <w:rFonts w:ascii="新宋体" w:hAnsi="新宋体" w:eastAsia="新宋体"/>
          <w:b/>
          <w:color w:val="000000"/>
          <w:szCs w:val="21"/>
        </w:rPr>
      </w:pPr>
      <w:r>
        <w:rPr>
          <w:rFonts w:hint="eastAsia" w:ascii="新宋体" w:hAnsi="新宋体" w:eastAsia="新宋体"/>
          <w:b/>
          <w:color w:val="000000"/>
          <w:szCs w:val="21"/>
        </w:rPr>
        <w:t xml:space="preserve">    （二）答题方式</w:t>
      </w:r>
    </w:p>
    <w:p>
      <w:pPr>
        <w:pStyle w:val="12"/>
        <w:spacing w:before="31" w:beforeLines="10" w:after="31" w:afterLines="10" w:line="360" w:lineRule="auto"/>
        <w:rPr>
          <w:rFonts w:hint="eastAsia" w:ascii="新宋体" w:hAnsi="新宋体" w:eastAsia="新宋体"/>
          <w:color w:val="000000"/>
          <w:szCs w:val="21"/>
        </w:rPr>
      </w:pPr>
      <w:r>
        <w:rPr>
          <w:rFonts w:hint="eastAsia" w:ascii="新宋体" w:hAnsi="新宋体" w:eastAsia="新宋体"/>
          <w:color w:val="000000"/>
          <w:szCs w:val="21"/>
        </w:rPr>
        <w:t xml:space="preserve"> 答题方式为闭卷、笔试。试卷由试题和答题纸组成；答案必须写在答题纸（由考点提供）相应的位置上。</w:t>
      </w:r>
    </w:p>
    <w:p>
      <w:pPr>
        <w:pStyle w:val="12"/>
        <w:spacing w:before="31" w:beforeLines="10" w:after="31" w:afterLines="10" w:line="360" w:lineRule="auto"/>
        <w:ind w:firstLine="422"/>
        <w:rPr>
          <w:rFonts w:hint="eastAsia"/>
          <w:b/>
          <w:color w:val="000000"/>
          <w:szCs w:val="21"/>
        </w:rPr>
      </w:pPr>
      <w:r>
        <w:rPr>
          <w:rFonts w:hint="eastAsia" w:ascii="新宋体" w:hAnsi="新宋体" w:eastAsia="新宋体"/>
          <w:b/>
          <w:color w:val="000000"/>
          <w:szCs w:val="21"/>
        </w:rPr>
        <w:t>（三）试卷内容结构</w:t>
      </w:r>
    </w:p>
    <w:p>
      <w:pPr>
        <w:adjustRightInd w:val="0"/>
        <w:snapToGrid w:val="0"/>
        <w:spacing w:line="360" w:lineRule="auto"/>
        <w:ind w:firstLine="420" w:firstLineChars="200"/>
        <w:rPr>
          <w:rFonts w:hint="eastAsia" w:ascii="宋体" w:hAnsi="宋体" w:cs="Arial"/>
          <w:color w:val="000000"/>
          <w:szCs w:val="21"/>
        </w:rPr>
      </w:pPr>
      <w:r>
        <w:rPr>
          <w:rFonts w:hint="eastAsia" w:ascii="宋体" w:hAnsi="宋体" w:cs="Arial"/>
          <w:color w:val="000000"/>
          <w:szCs w:val="21"/>
        </w:rPr>
        <w:t>考试内容主要包括旅游市场(20%)、旅游资源(30%)、旅游业(30%)以及旅游目的地(20%)。</w:t>
      </w:r>
    </w:p>
    <w:p>
      <w:pPr>
        <w:pStyle w:val="12"/>
        <w:spacing w:before="31" w:beforeLines="10" w:after="31" w:afterLines="10" w:line="360" w:lineRule="auto"/>
        <w:ind w:firstLine="422"/>
        <w:rPr>
          <w:rFonts w:ascii="新宋体" w:hAnsi="新宋体" w:eastAsia="新宋体"/>
          <w:b/>
          <w:color w:val="000000"/>
          <w:szCs w:val="21"/>
        </w:rPr>
      </w:pPr>
      <w:r>
        <w:rPr>
          <w:rFonts w:hint="eastAsia" w:ascii="新宋体" w:hAnsi="新宋体" w:eastAsia="新宋体"/>
          <w:b/>
          <w:color w:val="000000"/>
          <w:szCs w:val="21"/>
        </w:rPr>
        <w:t>（四）试卷题型结构</w:t>
      </w:r>
    </w:p>
    <w:p>
      <w:pPr>
        <w:spacing w:line="360" w:lineRule="auto"/>
        <w:ind w:firstLine="420" w:firstLineChars="200"/>
        <w:rPr>
          <w:rFonts w:hint="eastAsia" w:ascii="宋体" w:hAnsi="宋体"/>
          <w:color w:val="000000"/>
          <w:szCs w:val="21"/>
        </w:rPr>
      </w:pPr>
      <w:r>
        <w:rPr>
          <w:rFonts w:hint="eastAsia" w:ascii="宋体" w:hAnsi="宋体"/>
          <w:color w:val="000000"/>
          <w:szCs w:val="21"/>
        </w:rPr>
        <w:t>1.简答题（80分），共4-5道；</w:t>
      </w:r>
    </w:p>
    <w:p>
      <w:pPr>
        <w:spacing w:line="360" w:lineRule="auto"/>
        <w:ind w:firstLine="420" w:firstLineChars="200"/>
        <w:rPr>
          <w:rFonts w:hint="eastAsia" w:ascii="宋体" w:hAnsi="宋体"/>
          <w:b/>
          <w:bCs/>
          <w:color w:val="000000"/>
          <w:szCs w:val="21"/>
        </w:rPr>
      </w:pPr>
      <w:r>
        <w:rPr>
          <w:rFonts w:hint="eastAsia" w:ascii="宋体" w:hAnsi="宋体"/>
          <w:color w:val="000000"/>
          <w:szCs w:val="21"/>
        </w:rPr>
        <w:t>2.论述题（70分），共3-4道。</w:t>
      </w:r>
    </w:p>
    <w:p>
      <w:pPr>
        <w:spacing w:line="360" w:lineRule="auto"/>
        <w:rPr>
          <w:b/>
          <w:color w:val="000000"/>
          <w:sz w:val="24"/>
        </w:rPr>
      </w:pPr>
      <w:r>
        <w:rPr>
          <w:rFonts w:hint="eastAsia"/>
          <w:b/>
          <w:color w:val="000000"/>
          <w:sz w:val="24"/>
        </w:rPr>
        <w:t>二、考查目标</w:t>
      </w: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课程考试的目的在于</w:t>
      </w:r>
      <w:r>
        <w:rPr>
          <w:rFonts w:ascii="宋体" w:hAnsi="宋体" w:cs="Arial"/>
          <w:color w:val="000000"/>
          <w:szCs w:val="21"/>
        </w:rPr>
        <w:t>测试考生对</w:t>
      </w:r>
      <w:r>
        <w:rPr>
          <w:rFonts w:hint="eastAsia" w:ascii="宋体" w:hAnsi="宋体" w:cs="Arial"/>
          <w:color w:val="000000"/>
          <w:szCs w:val="21"/>
        </w:rPr>
        <w:t>于旅游行业相关</w:t>
      </w:r>
      <w:r>
        <w:rPr>
          <w:rFonts w:ascii="宋体" w:hAnsi="宋体" w:cs="Arial"/>
          <w:color w:val="000000"/>
          <w:szCs w:val="21"/>
        </w:rPr>
        <w:t>的</w:t>
      </w:r>
      <w:r>
        <w:rPr>
          <w:rFonts w:hint="eastAsia" w:ascii="宋体" w:hAnsi="宋体" w:cs="Arial"/>
          <w:color w:val="000000"/>
          <w:szCs w:val="21"/>
        </w:rPr>
        <w:t>基本概念、</w:t>
      </w:r>
      <w:r>
        <w:rPr>
          <w:rFonts w:ascii="宋体" w:hAnsi="宋体" w:cs="Arial"/>
          <w:color w:val="000000"/>
          <w:szCs w:val="21"/>
        </w:rPr>
        <w:t>基本</w:t>
      </w:r>
      <w:r>
        <w:rPr>
          <w:rFonts w:hint="eastAsia" w:ascii="宋体" w:hAnsi="宋体" w:cs="Arial"/>
          <w:color w:val="000000"/>
          <w:szCs w:val="21"/>
        </w:rPr>
        <w:t>理论、基础知识</w:t>
      </w:r>
      <w:r>
        <w:rPr>
          <w:rFonts w:ascii="宋体" w:hAnsi="宋体" w:cs="Arial"/>
          <w:color w:val="000000"/>
          <w:szCs w:val="21"/>
        </w:rPr>
        <w:t>的</w:t>
      </w:r>
      <w:r>
        <w:rPr>
          <w:rFonts w:hint="eastAsia" w:ascii="宋体" w:hAnsi="宋体" w:cs="Arial"/>
          <w:color w:val="000000"/>
          <w:szCs w:val="21"/>
        </w:rPr>
        <w:t>掌握情况以及综合运用分析和解决旅游行业发展过程中现实问题的能力</w:t>
      </w:r>
      <w:r>
        <w:rPr>
          <w:rFonts w:ascii="宋体" w:hAnsi="宋体" w:cs="Arial"/>
          <w:color w:val="000000"/>
          <w:szCs w:val="21"/>
        </w:rPr>
        <w:t>。</w:t>
      </w:r>
    </w:p>
    <w:p>
      <w:pPr>
        <w:numPr>
          <w:ilvl w:val="0"/>
          <w:numId w:val="3"/>
        </w:numPr>
        <w:spacing w:before="31" w:beforeLines="10" w:after="31" w:afterLines="10" w:line="360" w:lineRule="auto"/>
        <w:rPr>
          <w:rFonts w:hint="eastAsia"/>
          <w:b/>
          <w:color w:val="000000"/>
          <w:sz w:val="24"/>
        </w:rPr>
      </w:pPr>
      <w:r>
        <w:rPr>
          <w:rFonts w:hint="eastAsia"/>
          <w:b/>
          <w:color w:val="000000"/>
          <w:sz w:val="24"/>
        </w:rPr>
        <w:t>考查范围或考试内容概要</w:t>
      </w:r>
    </w:p>
    <w:p>
      <w:pPr>
        <w:adjustRightInd w:val="0"/>
        <w:snapToGrid w:val="0"/>
        <w:spacing w:line="360" w:lineRule="auto"/>
        <w:ind w:firstLine="420"/>
        <w:rPr>
          <w:rFonts w:hint="eastAsia" w:ascii="宋体" w:hAnsi="宋体" w:cs="Arial"/>
          <w:color w:val="000000"/>
          <w:szCs w:val="21"/>
        </w:rPr>
      </w:pPr>
      <w:r>
        <w:rPr>
          <w:rFonts w:ascii="宋体" w:hAnsi="宋体" w:cs="Arial"/>
          <w:color w:val="000000"/>
          <w:szCs w:val="21"/>
        </w:rPr>
        <w:t>第一部分</w:t>
      </w:r>
      <w:r>
        <w:rPr>
          <w:rFonts w:hint="eastAsia" w:ascii="宋体" w:hAnsi="宋体" w:cs="Arial"/>
          <w:color w:val="000000"/>
          <w:szCs w:val="21"/>
        </w:rPr>
        <w:t xml:space="preserve"> 旅游市场</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1.旅游需求与供给</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旅游需求；旅游供给；旅游供求的发展与平衡</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 xml:space="preserve">  2.旅游者与旅游消费</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旅游动机与旅游者类型、旅游客源市场、旅游消费结构、新旅游者</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3.新常态与旅游市场新变化</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旅游新常态、旅游市场新变化、旅游市场管理、旅游市场结构与演化</w:t>
      </w:r>
      <w:r>
        <w:rPr>
          <w:rFonts w:ascii="宋体" w:hAnsi="宋体" w:cs="Arial"/>
          <w:color w:val="000000"/>
          <w:szCs w:val="21"/>
        </w:rPr>
        <w:br w:type="textWrapping"/>
      </w:r>
      <w:r>
        <w:rPr>
          <w:rFonts w:ascii="宋体" w:hAnsi="宋体" w:cs="Arial"/>
          <w:color w:val="000000"/>
          <w:szCs w:val="21"/>
        </w:rPr>
        <w:t>　　</w:t>
      </w:r>
    </w:p>
    <w:p>
      <w:pPr>
        <w:adjustRightInd w:val="0"/>
        <w:snapToGrid w:val="0"/>
        <w:spacing w:line="360" w:lineRule="auto"/>
        <w:ind w:firstLine="420"/>
        <w:rPr>
          <w:rFonts w:hint="eastAsia" w:ascii="宋体" w:hAnsi="宋体" w:cs="Arial"/>
          <w:color w:val="000000"/>
          <w:szCs w:val="21"/>
        </w:rPr>
      </w:pPr>
    </w:p>
    <w:p>
      <w:pPr>
        <w:adjustRightInd w:val="0"/>
        <w:snapToGrid w:val="0"/>
        <w:spacing w:line="360" w:lineRule="auto"/>
        <w:ind w:firstLine="420"/>
        <w:rPr>
          <w:rFonts w:hint="eastAsia" w:ascii="宋体" w:hAnsi="宋体" w:cs="Arial"/>
          <w:color w:val="000000"/>
          <w:szCs w:val="21"/>
        </w:rPr>
      </w:pPr>
      <w:r>
        <w:rPr>
          <w:rFonts w:ascii="宋体" w:hAnsi="宋体" w:cs="Arial"/>
          <w:color w:val="000000"/>
          <w:szCs w:val="21"/>
        </w:rPr>
        <w:t>第二部分</w:t>
      </w:r>
      <w:r>
        <w:rPr>
          <w:rFonts w:hint="eastAsia" w:ascii="宋体" w:hAnsi="宋体" w:cs="Arial"/>
          <w:color w:val="000000"/>
          <w:szCs w:val="21"/>
        </w:rPr>
        <w:t xml:space="preserve">  旅游资源</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1.旅游资源概况</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旅游资源的概念与分类、我国旅游资源、旅游资源的形成</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2.旅游资源开发与保护</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旅游资源开发、全域旅游背景下旅游资源开发、旅游资源开发的新思维与新模式、旅游环境保护、旅游资源利用</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3.旅游资源发展面临的新变化</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共享经济与旅游资源、旅游资源配置与优化</w:t>
      </w:r>
      <w:r>
        <w:rPr>
          <w:rFonts w:ascii="宋体" w:hAnsi="宋体" w:cs="Arial"/>
          <w:color w:val="000000"/>
          <w:szCs w:val="21"/>
        </w:rPr>
        <w:br w:type="textWrapping"/>
      </w:r>
      <w:r>
        <w:rPr>
          <w:rFonts w:ascii="宋体" w:hAnsi="宋体" w:cs="Arial"/>
          <w:color w:val="000000"/>
          <w:szCs w:val="21"/>
        </w:rPr>
        <w:t>　</w:t>
      </w:r>
    </w:p>
    <w:p>
      <w:pPr>
        <w:adjustRightInd w:val="0"/>
        <w:snapToGrid w:val="0"/>
        <w:spacing w:line="360" w:lineRule="auto"/>
        <w:ind w:firstLine="420"/>
        <w:rPr>
          <w:rFonts w:hint="eastAsia" w:ascii="宋体" w:hAnsi="宋体" w:cs="Arial"/>
          <w:color w:val="000000"/>
          <w:szCs w:val="21"/>
        </w:rPr>
      </w:pPr>
      <w:r>
        <w:rPr>
          <w:rFonts w:ascii="宋体" w:hAnsi="宋体" w:cs="Arial"/>
          <w:color w:val="000000"/>
          <w:szCs w:val="21"/>
        </w:rPr>
        <w:t>第三部分</w:t>
      </w:r>
      <w:r>
        <w:rPr>
          <w:rFonts w:hint="eastAsia" w:ascii="宋体" w:hAnsi="宋体" w:cs="Arial"/>
          <w:color w:val="000000"/>
          <w:szCs w:val="21"/>
        </w:rPr>
        <w:t xml:space="preserve">  旅游业</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1.旅游业发展</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旅游业结构、旅游与旅游业历史进程、旅游业与国民经济、世界各国旅游发展模式</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2.新常态与旅游业新发展</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旅游新业态、旅游业发展新思维、旅游产业生态效率与产业生态化、旅游产业投入与产出、旅游+、大数据与旅游业新发展</w:t>
      </w:r>
      <w:r>
        <w:rPr>
          <w:rFonts w:ascii="宋体" w:hAnsi="宋体" w:cs="Arial"/>
          <w:color w:val="000000"/>
          <w:szCs w:val="21"/>
        </w:rPr>
        <w:br w:type="textWrapping"/>
      </w:r>
      <w:r>
        <w:rPr>
          <w:rFonts w:ascii="宋体" w:hAnsi="宋体" w:cs="Arial"/>
          <w:color w:val="000000"/>
          <w:szCs w:val="21"/>
        </w:rPr>
        <w:t>　　</w:t>
      </w:r>
    </w:p>
    <w:p>
      <w:pPr>
        <w:adjustRightInd w:val="0"/>
        <w:snapToGrid w:val="0"/>
        <w:spacing w:line="360" w:lineRule="auto"/>
        <w:ind w:firstLine="420"/>
        <w:rPr>
          <w:rFonts w:hint="eastAsia" w:ascii="宋体" w:hAnsi="宋体" w:cs="Arial"/>
          <w:color w:val="000000"/>
          <w:szCs w:val="21"/>
        </w:rPr>
      </w:pPr>
      <w:r>
        <w:rPr>
          <w:rFonts w:ascii="宋体" w:hAnsi="宋体" w:cs="Arial"/>
          <w:color w:val="000000"/>
          <w:szCs w:val="21"/>
        </w:rPr>
        <w:t>第四部分</w:t>
      </w:r>
      <w:r>
        <w:rPr>
          <w:rFonts w:hint="eastAsia" w:ascii="宋体" w:hAnsi="宋体" w:cs="Arial"/>
          <w:color w:val="000000"/>
          <w:szCs w:val="21"/>
        </w:rPr>
        <w:t xml:space="preserve">  旅游目的地</w:t>
      </w:r>
    </w:p>
    <w:p>
      <w:pPr>
        <w:adjustRightInd w:val="0"/>
        <w:snapToGrid w:val="0"/>
        <w:spacing w:line="360" w:lineRule="auto"/>
        <w:ind w:firstLine="420"/>
        <w:rPr>
          <w:rFonts w:hint="eastAsia" w:ascii="宋体" w:hAnsi="宋体" w:cs="Arial"/>
          <w:color w:val="000000"/>
          <w:szCs w:val="21"/>
        </w:rPr>
      </w:pPr>
      <w:r>
        <w:rPr>
          <w:rFonts w:hint="eastAsia" w:ascii="宋体" w:hAnsi="宋体" w:cs="Arial"/>
          <w:color w:val="000000"/>
          <w:szCs w:val="21"/>
        </w:rPr>
        <w:t>1.旅游目的地营销与品牌建设</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旅游目的地形象、旅游目的地营销、旅游目的地品牌、全域旅游目的地建设、智慧旅游城市建设</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2.旅游目的地竞争力与可持续发展</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旅游目的地竞争力、旅游目的地可持续发展、“一带一路”沿线旅游目的地</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3.旅游目的地企业管理与产品开发</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旅游目的地企业发展、目的地旅游产品、目的地旅游公共服务体系</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4.旅游目的地宏观管理与区域合作</w:t>
      </w:r>
      <w:r>
        <w:rPr>
          <w:rFonts w:ascii="宋体" w:hAnsi="宋体" w:cs="Arial"/>
          <w:color w:val="000000"/>
          <w:szCs w:val="21"/>
        </w:rPr>
        <w:br w:type="textWrapping"/>
      </w:r>
      <w:r>
        <w:rPr>
          <w:rFonts w:ascii="宋体" w:hAnsi="宋体" w:cs="Arial"/>
          <w:color w:val="000000"/>
          <w:szCs w:val="21"/>
        </w:rPr>
        <w:t>　　</w:t>
      </w:r>
      <w:r>
        <w:rPr>
          <w:rFonts w:hint="eastAsia" w:ascii="宋体" w:hAnsi="宋体" w:cs="Arial"/>
          <w:color w:val="000000"/>
          <w:szCs w:val="21"/>
        </w:rPr>
        <w:t>区域旅游合作、旅游目的地宏观管理、“一带一路”旅游合作、长江经济带旅游合作</w:t>
      </w:r>
    </w:p>
    <w:p>
      <w:pPr>
        <w:numPr>
          <w:ilvl w:val="0"/>
          <w:numId w:val="3"/>
        </w:numPr>
        <w:spacing w:before="31" w:beforeLines="10" w:after="31" w:afterLines="10" w:line="360" w:lineRule="auto"/>
        <w:ind w:left="420"/>
        <w:rPr>
          <w:rFonts w:hint="eastAsia"/>
          <w:b/>
          <w:color w:val="000000"/>
          <w:sz w:val="24"/>
        </w:rPr>
      </w:pPr>
      <w:r>
        <w:rPr>
          <w:rFonts w:hint="eastAsia"/>
          <w:b/>
          <w:color w:val="000000"/>
          <w:sz w:val="24"/>
        </w:rPr>
        <w:t>参考教材或主要参考书：</w:t>
      </w:r>
    </w:p>
    <w:p>
      <w:pPr>
        <w:rPr>
          <w:rFonts w:hint="eastAsia"/>
        </w:rPr>
      </w:pPr>
      <w:bookmarkStart w:id="0" w:name="OLE_LINK1"/>
      <w:r>
        <w:rPr>
          <w:rFonts w:hint="eastAsia" w:ascii="宋体" w:hAnsi="宋体" w:cs="宋体"/>
          <w:color w:val="000000"/>
          <w:spacing w:val="-2"/>
          <w:szCs w:val="21"/>
        </w:rPr>
        <w:t xml:space="preserve">    </w:t>
      </w:r>
      <w:bookmarkEnd w:id="0"/>
      <w:r>
        <w:rPr>
          <w:rFonts w:hint="eastAsia"/>
        </w:rPr>
        <w:t>《旅游经济学》林南枝、陶汉军，南开大学出版社，2009年；</w:t>
      </w:r>
    </w:p>
    <w:p>
      <w:pPr>
        <w:ind w:firstLine="420" w:firstLineChars="200"/>
      </w:pPr>
      <w:r>
        <w:rPr>
          <w:rFonts w:hint="eastAsia"/>
        </w:rPr>
        <w:t>《旅游学概论》李天元著 第七版 南开大学出版社，2015年。</w:t>
      </w:r>
    </w:p>
    <w:p>
      <w:pPr>
        <w:snapToGrid w:val="0"/>
        <w:spacing w:line="360" w:lineRule="auto"/>
        <w:rPr>
          <w:rFonts w:hint="eastAsia" w:ascii="宋体" w:hAnsi="宋体" w:cs="宋体"/>
          <w:color w:val="000000"/>
          <w:spacing w:val="-2"/>
          <w:szCs w:val="21"/>
        </w:rPr>
      </w:pPr>
    </w:p>
    <w:p>
      <w:pPr>
        <w:rPr>
          <w:rFonts w:hint="eastAsia"/>
        </w:rPr>
      </w:pPr>
    </w:p>
    <w:p>
      <w:pPr>
        <w:rPr>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7FBF9"/>
    <w:multiLevelType w:val="singleLevel"/>
    <w:tmpl w:val="5907FBF9"/>
    <w:lvl w:ilvl="0" w:tentative="0">
      <w:start w:val="1"/>
      <w:numFmt w:val="chineseCounting"/>
      <w:suff w:val="nothing"/>
      <w:lvlText w:val="%1、"/>
      <w:lvlJc w:val="left"/>
    </w:lvl>
  </w:abstractNum>
  <w:abstractNum w:abstractNumId="1">
    <w:nsid w:val="5907FC4F"/>
    <w:multiLevelType w:val="singleLevel"/>
    <w:tmpl w:val="5907FC4F"/>
    <w:lvl w:ilvl="0" w:tentative="0">
      <w:start w:val="1"/>
      <w:numFmt w:val="chineseCounting"/>
      <w:suff w:val="nothing"/>
      <w:lvlText w:val="（%1）"/>
      <w:lvlJc w:val="left"/>
    </w:lvl>
  </w:abstractNum>
  <w:abstractNum w:abstractNumId="2">
    <w:nsid w:val="5907FE2A"/>
    <w:multiLevelType w:val="singleLevel"/>
    <w:tmpl w:val="5907FE2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E2"/>
    <w:rsid w:val="000237A3"/>
    <w:rsid w:val="001932AE"/>
    <w:rsid w:val="0022384C"/>
    <w:rsid w:val="00392D79"/>
    <w:rsid w:val="003B4590"/>
    <w:rsid w:val="004A7FF3"/>
    <w:rsid w:val="004C2CAA"/>
    <w:rsid w:val="00500BE2"/>
    <w:rsid w:val="0057309E"/>
    <w:rsid w:val="006351CB"/>
    <w:rsid w:val="006A6654"/>
    <w:rsid w:val="0075743D"/>
    <w:rsid w:val="00837132"/>
    <w:rsid w:val="0085511E"/>
    <w:rsid w:val="00897E3B"/>
    <w:rsid w:val="008F3E4C"/>
    <w:rsid w:val="0095236E"/>
    <w:rsid w:val="00984DFB"/>
    <w:rsid w:val="00A32AF0"/>
    <w:rsid w:val="00A33091"/>
    <w:rsid w:val="00A50320"/>
    <w:rsid w:val="00AC511B"/>
    <w:rsid w:val="00B006B6"/>
    <w:rsid w:val="00BD53DB"/>
    <w:rsid w:val="00C512ED"/>
    <w:rsid w:val="00CA68B3"/>
    <w:rsid w:val="00CC4816"/>
    <w:rsid w:val="00CE05FF"/>
    <w:rsid w:val="00CF1356"/>
    <w:rsid w:val="00D17007"/>
    <w:rsid w:val="00D603B0"/>
    <w:rsid w:val="00D65722"/>
    <w:rsid w:val="00D830EB"/>
    <w:rsid w:val="00E0631A"/>
    <w:rsid w:val="00E20D2C"/>
    <w:rsid w:val="00F11A9D"/>
    <w:rsid w:val="00F25C6C"/>
    <w:rsid w:val="11B63AA3"/>
    <w:rsid w:val="29A81795"/>
    <w:rsid w:val="65221E5A"/>
    <w:rsid w:val="76DE5FA4"/>
    <w:rsid w:val="7E4414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link w:val="15"/>
    <w:qFormat/>
    <w:uiPriority w:val="9"/>
    <w:pPr>
      <w:keepNext/>
      <w:keepLines/>
      <w:spacing w:line="360" w:lineRule="auto"/>
      <w:jc w:val="center"/>
      <w:outlineLvl w:val="0"/>
    </w:pPr>
    <w:rPr>
      <w:b/>
      <w:bCs/>
      <w:kern w:val="44"/>
      <w:sz w:val="28"/>
      <w:szCs w:val="44"/>
    </w:rPr>
  </w:style>
  <w:style w:type="paragraph" w:styleId="3">
    <w:name w:val="heading 2"/>
    <w:basedOn w:val="1"/>
    <w:next w:val="1"/>
    <w:link w:val="17"/>
    <w:qFormat/>
    <w:uiPriority w:val="0"/>
    <w:pPr>
      <w:keepNext/>
      <w:spacing w:line="288" w:lineRule="auto"/>
      <w:ind w:firstLine="200" w:firstLineChars="200"/>
      <w:outlineLvl w:val="1"/>
    </w:pPr>
    <w:rPr>
      <w:b/>
      <w:bCs/>
      <w:iCs/>
      <w:kern w:val="0"/>
      <w:sz w:val="24"/>
      <w:szCs w:val="28"/>
    </w:rPr>
  </w:style>
  <w:style w:type="paragraph" w:styleId="4">
    <w:name w:val="heading 3"/>
    <w:basedOn w:val="1"/>
    <w:next w:val="1"/>
    <w:link w:val="14"/>
    <w:qFormat/>
    <w:uiPriority w:val="9"/>
    <w:pPr>
      <w:widowControl/>
      <w:ind w:firstLine="200" w:firstLineChars="200"/>
      <w:jc w:val="left"/>
      <w:outlineLvl w:val="2"/>
    </w:pPr>
    <w:rPr>
      <w:rFonts w:ascii="宋体" w:hAnsi="宋体"/>
      <w:b/>
      <w:color w:val="000000"/>
      <w:kern w:val="0"/>
      <w:sz w:val="20"/>
      <w:szCs w:val="21"/>
    </w:rPr>
  </w:style>
  <w:style w:type="character" w:default="1" w:styleId="10">
    <w:name w:val="Default Paragraph Font"/>
    <w:unhideWhenUsed/>
    <w:uiPriority w:val="1"/>
  </w:style>
  <w:style w:type="table" w:default="1" w:styleId="9">
    <w:name w:val="Normal Table"/>
    <w:unhideWhenUsed/>
    <w:uiPriority w:val="99"/>
    <w:tblPr>
      <w:tblStyle w:val="9"/>
      <w:tblCellMar>
        <w:top w:w="0" w:type="dxa"/>
        <w:left w:w="108" w:type="dxa"/>
        <w:bottom w:w="0" w:type="dxa"/>
        <w:right w:w="108" w:type="dxa"/>
      </w:tblCellMar>
    </w:tblPr>
  </w:style>
  <w:style w:type="paragraph" w:styleId="5">
    <w:name w:val="footer"/>
    <w:basedOn w:val="1"/>
    <w:link w:val="19"/>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3"/>
    <w:qFormat/>
    <w:uiPriority w:val="11"/>
    <w:pPr>
      <w:ind w:firstLine="200" w:firstLineChars="200"/>
      <w:jc w:val="left"/>
      <w:outlineLvl w:val="1"/>
    </w:pPr>
    <w:rPr>
      <w:rFonts w:ascii="Cambria" w:hAnsi="Cambria"/>
      <w:b/>
      <w:bCs/>
      <w:kern w:val="28"/>
      <w:sz w:val="20"/>
      <w:szCs w:val="32"/>
    </w:rPr>
  </w:style>
  <w:style w:type="paragraph" w:styleId="8">
    <w:name w:val="Title"/>
    <w:basedOn w:val="1"/>
    <w:next w:val="1"/>
    <w:link w:val="18"/>
    <w:qFormat/>
    <w:uiPriority w:val="10"/>
    <w:pPr>
      <w:ind w:firstLine="200" w:firstLineChars="200"/>
      <w:jc w:val="left"/>
      <w:outlineLvl w:val="0"/>
    </w:pPr>
    <w:rPr>
      <w:rFonts w:ascii="Cambria" w:hAnsi="Cambria"/>
      <w:b/>
      <w:bCs/>
      <w:kern w:val="0"/>
      <w:sz w:val="24"/>
      <w:szCs w:val="32"/>
    </w:rPr>
  </w:style>
  <w:style w:type="paragraph" w:customStyle="1" w:styleId="11">
    <w:name w:val="_Style 1"/>
    <w:basedOn w:val="1"/>
    <w:qFormat/>
    <w:uiPriority w:val="0"/>
    <w:pPr>
      <w:ind w:firstLine="420" w:firstLineChars="200"/>
    </w:pPr>
  </w:style>
  <w:style w:type="paragraph" w:styleId="12">
    <w:name w:val="List Paragraph"/>
    <w:basedOn w:val="1"/>
    <w:qFormat/>
    <w:uiPriority w:val="0"/>
    <w:pPr>
      <w:ind w:firstLine="420" w:firstLineChars="200"/>
    </w:pPr>
  </w:style>
  <w:style w:type="character" w:customStyle="1" w:styleId="13">
    <w:name w:val="副标题 Char"/>
    <w:link w:val="7"/>
    <w:uiPriority w:val="11"/>
    <w:rPr>
      <w:rFonts w:ascii="Cambria" w:hAnsi="Cambria" w:cs="Times New Roman"/>
      <w:b/>
      <w:bCs/>
      <w:kern w:val="28"/>
      <w:szCs w:val="32"/>
    </w:rPr>
  </w:style>
  <w:style w:type="character" w:customStyle="1" w:styleId="14">
    <w:name w:val="标题 3 Char"/>
    <w:link w:val="4"/>
    <w:uiPriority w:val="9"/>
    <w:rPr>
      <w:rFonts w:ascii="宋体" w:hAnsi="宋体"/>
      <w:b/>
      <w:color w:val="000000"/>
      <w:szCs w:val="21"/>
    </w:rPr>
  </w:style>
  <w:style w:type="character" w:customStyle="1" w:styleId="15">
    <w:name w:val="标题 1 Char"/>
    <w:link w:val="2"/>
    <w:uiPriority w:val="9"/>
    <w:rPr>
      <w:rFonts w:ascii="Times New Roman" w:hAnsi="Times New Roman"/>
      <w:b/>
      <w:bCs/>
      <w:kern w:val="44"/>
      <w:sz w:val="28"/>
      <w:szCs w:val="44"/>
    </w:rPr>
  </w:style>
  <w:style w:type="character" w:customStyle="1" w:styleId="16">
    <w:name w:val="页眉 Char"/>
    <w:basedOn w:val="10"/>
    <w:link w:val="6"/>
    <w:semiHidden/>
    <w:uiPriority w:val="99"/>
    <w:rPr>
      <w:rFonts w:ascii="Times New Roman" w:hAnsi="Times New Roman"/>
      <w:kern w:val="2"/>
      <w:sz w:val="18"/>
      <w:szCs w:val="18"/>
    </w:rPr>
  </w:style>
  <w:style w:type="character" w:customStyle="1" w:styleId="17">
    <w:name w:val="标题 2 Char"/>
    <w:link w:val="3"/>
    <w:uiPriority w:val="0"/>
    <w:rPr>
      <w:rFonts w:ascii="Times New Roman" w:hAnsi="Times New Roman" w:eastAsia="宋体" w:cs="Times New Roman"/>
      <w:b/>
      <w:bCs/>
      <w:iCs/>
      <w:sz w:val="24"/>
      <w:szCs w:val="28"/>
    </w:rPr>
  </w:style>
  <w:style w:type="character" w:customStyle="1" w:styleId="18">
    <w:name w:val="标题 Char"/>
    <w:link w:val="8"/>
    <w:uiPriority w:val="10"/>
    <w:rPr>
      <w:rFonts w:ascii="Cambria" w:hAnsi="Cambria" w:cs="Times New Roman"/>
      <w:b/>
      <w:bCs/>
      <w:sz w:val="24"/>
      <w:szCs w:val="32"/>
    </w:rPr>
  </w:style>
  <w:style w:type="character" w:customStyle="1" w:styleId="19">
    <w:name w:val="页脚 Char"/>
    <w:basedOn w:val="10"/>
    <w:link w:val="5"/>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175</Words>
  <Characters>1003</Characters>
  <Lines>8</Lines>
  <Paragraphs>2</Paragraphs>
  <TotalTime>0</TotalTime>
  <ScaleCrop>false</ScaleCrop>
  <LinksUpToDate>false</LinksUpToDate>
  <CharactersWithSpaces>1176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2017-07-06T08:47:00Z</dcterms:created>
  <dc:creator>ad</dc:creator>
  <cp:lastModifiedBy>Administrator</cp:lastModifiedBy>
  <dcterms:modified xsi:type="dcterms:W3CDTF">2021-09-15T05:05:55Z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