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华侨大学</w:t>
      </w:r>
      <w:r>
        <w:rPr>
          <w:rFonts w:hint="eastAsia" w:ascii="黑体" w:eastAsia="黑体"/>
          <w:b/>
          <w:sz w:val="32"/>
          <w:szCs w:val="32"/>
          <w:u w:val="single"/>
        </w:rPr>
        <w:t>硕士</w:t>
      </w:r>
      <w:r>
        <w:rPr>
          <w:rFonts w:hint="eastAsia" w:ascii="黑体" w:eastAsia="黑体"/>
          <w:b/>
          <w:sz w:val="32"/>
          <w:szCs w:val="32"/>
        </w:rPr>
        <w:t>研究生招生考试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初试自命题科目考试大纲</w:t>
      </w:r>
    </w:p>
    <w:p>
      <w:pPr>
        <w:spacing w:before="312" w:beforeLines="100" w:after="31" w:afterLines="10" w:line="360" w:lineRule="auto"/>
        <w:jc w:val="left"/>
        <w:rPr>
          <w:rFonts w:hint="eastAsia"/>
          <w:b/>
          <w:szCs w:val="21"/>
        </w:rPr>
      </w:pPr>
    </w:p>
    <w:p>
      <w:pPr>
        <w:spacing w:before="312" w:beforeLines="100" w:after="31" w:afterLines="10" w:line="360" w:lineRule="auto"/>
        <w:jc w:val="left"/>
        <w:rPr>
          <w:rFonts w:hint="eastAsia"/>
          <w:b/>
          <w:szCs w:val="21"/>
          <w:u w:val="single"/>
        </w:rPr>
      </w:pPr>
      <w:r>
        <w:rPr>
          <w:rFonts w:hint="eastAsia"/>
          <w:b/>
          <w:szCs w:val="21"/>
        </w:rPr>
        <w:t>招生学院：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b/>
          <w:bCs/>
          <w:szCs w:val="21"/>
          <w:u w:val="single"/>
        </w:rPr>
        <w:t xml:space="preserve">文学院   </w:t>
      </w:r>
      <w:r>
        <w:rPr>
          <w:rFonts w:hint="eastAsia"/>
          <w:szCs w:val="21"/>
          <w:u w:val="single"/>
        </w:rPr>
        <w:t xml:space="preserve">               </w:t>
      </w:r>
      <w:r>
        <w:rPr>
          <w:rFonts w:hint="eastAsia"/>
          <w:b/>
          <w:szCs w:val="21"/>
        </w:rPr>
        <w:t>招生专业：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b/>
          <w:bCs/>
          <w:sz w:val="24"/>
          <w:u w:val="single"/>
        </w:rPr>
        <w:t>中国语言文学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 xml:space="preserve">  </w:t>
      </w:r>
    </w:p>
    <w:p>
      <w:pPr>
        <w:spacing w:before="312" w:beforeLines="100" w:after="31" w:afterLines="10" w:line="360" w:lineRule="auto"/>
        <w:jc w:val="left"/>
        <w:rPr>
          <w:rFonts w:hint="eastAsia"/>
          <w:b/>
          <w:sz w:val="24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  <w:u w:val="single"/>
        </w:rPr>
        <w:t xml:space="preserve">          文学基础                                                     </w:t>
      </w:r>
      <w:r>
        <w:rPr>
          <w:rFonts w:hint="eastAsia"/>
          <w:b/>
          <w:sz w:val="24"/>
        </w:rPr>
        <w:t xml:space="preserve"> </w:t>
      </w:r>
    </w:p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（一）试卷满分值及考试时间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本试卷满分为150分，考试时间为180分钟。</w:t>
      </w:r>
    </w:p>
    <w:p>
      <w:pPr>
        <w:spacing w:line="360" w:lineRule="auto"/>
        <w:ind w:firstLine="420" w:firstLineChars="20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（二）答题方式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答题方式为闭卷、笔试。试卷由试题和答题纸组成；答案必须写在答题纸（由考点提供）相应的位置上。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（三）试卷内容结构</w:t>
      </w:r>
    </w:p>
    <w:p>
      <w:pPr>
        <w:spacing w:line="360" w:lineRule="auto"/>
        <w:ind w:firstLine="420" w:firstLineChars="20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 xml:space="preserve"> 考试内容主要包括中国古代文学(75分)，中国现代文学(40分)，中国当代文学(35分)。</w:t>
      </w:r>
    </w:p>
    <w:p>
      <w:pPr>
        <w:spacing w:line="360" w:lineRule="auto"/>
        <w:ind w:firstLine="420" w:firstLineChars="20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（四）试卷题型结构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1.名词解释（40分），共8道；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2.简答题（40分），共4道；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3.论述题（70分），共3道（前两道必选，每题20分，第三道2选一，30分）。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spacing w:line="360" w:lineRule="auto"/>
        <w:ind w:firstLine="420" w:firstLineChars="200"/>
        <w:rPr>
          <w:rFonts w:hint="eastAsia"/>
          <w:b/>
          <w:sz w:val="24"/>
        </w:rPr>
      </w:pPr>
      <w:r>
        <w:rPr>
          <w:rFonts w:hint="eastAsia" w:ascii="宋体" w:hAnsi="宋体" w:cs="Arial"/>
          <w:szCs w:val="21"/>
        </w:rPr>
        <w:t>课程考试的目的在于</w:t>
      </w:r>
      <w:r>
        <w:rPr>
          <w:rFonts w:ascii="宋体" w:hAnsi="宋体" w:cs="Arial"/>
          <w:szCs w:val="21"/>
        </w:rPr>
        <w:t>测试考生对</w:t>
      </w:r>
      <w:r>
        <w:rPr>
          <w:rFonts w:hint="eastAsia" w:ascii="宋体" w:hAnsi="宋体" w:cs="Arial"/>
          <w:szCs w:val="21"/>
        </w:rPr>
        <w:t>于中国古代文学、中国现代文学、当代文学</w:t>
      </w:r>
      <w:r>
        <w:rPr>
          <w:rFonts w:ascii="宋体" w:hAnsi="宋体" w:cs="Arial"/>
          <w:szCs w:val="21"/>
        </w:rPr>
        <w:t>的基本</w:t>
      </w:r>
      <w:r>
        <w:rPr>
          <w:rFonts w:hint="eastAsia" w:ascii="宋体" w:hAnsi="宋体" w:cs="Arial"/>
          <w:szCs w:val="21"/>
        </w:rPr>
        <w:t>发展脉络、基本概念、重要作家和作品</w:t>
      </w:r>
      <w:r>
        <w:rPr>
          <w:rFonts w:ascii="宋体" w:hAnsi="宋体" w:cs="Arial"/>
          <w:szCs w:val="21"/>
        </w:rPr>
        <w:t>的</w:t>
      </w:r>
      <w:r>
        <w:rPr>
          <w:rFonts w:hint="eastAsia" w:ascii="宋体" w:hAnsi="宋体" w:cs="Arial"/>
          <w:szCs w:val="21"/>
        </w:rPr>
        <w:t>掌握情况，以及综合运用文学理论进行分析和阐释的能力</w:t>
      </w:r>
      <w:r>
        <w:rPr>
          <w:rFonts w:ascii="宋体" w:hAnsi="宋体" w:cs="Arial"/>
          <w:szCs w:val="21"/>
        </w:rPr>
        <w:t>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三、考查范围或考试内容概要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第一部分  中国古代文学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1.先秦文学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上古神话；《诗经》；《左传》等先秦叙事散文；屈原与楚辞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2.秦汉文学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秦及西汉散文；西汉辞赋；《史记》；两汉乐府诗；东汉辞赋；东汉散文；古诗十九首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3.魏晋南北朝文学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建安风骨；正始之音；陶渊明；南北朝民歌；谢灵运、鲍照与诗风的转变；永明体；魏晋南北朝的辞赋、骈文、散文、小说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4.隋唐五代文学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初唐诗坛；盛唐诗人群体；李白；杜甫；大历诗风；韩孟诗派与刘禹锡、柳宗元等诗人；白居易与元白诗派；唐传奇；李商隐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5.宋元文学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柳永与北宋前期词风的演变；欧阳修及其影响下的诗文创作；苏轼；江西诗派及两宋之际的诗歌；周邦彦和北宋中后期词坛；陆游等中兴四大诗人；辛弃疾和辛派词人；姜夔；吴文英及宋末词坛；话本小说与说唱文学；关汉卿；《西厢记》；白朴和马致远；南戏的兴起与《琵琶记》；元代诗文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6.明清文学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《三国演义》；《水浒传》；明代前期诗文；明代中期的文学复古；明代杂剧的演变；汤显祖；《西游记》与其它神怪小说；《金瓶梅》与世情小说的勃兴；三言、二拍；晚明诗文；清初诗文的繁荣与词学的复兴；清初戏曲与《长生殿》；《桃花扇》；《聊斋志异》；《儒林外史》；《红楼梦》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第二部分  中国现代文学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1.文艺思潮与运动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文学革命的发生与发展；2.外国文艺思潮的涌入和新文学社团的蜂起；胡适、周作人与新文学初期理论建设；文学创作潮流与趋向；1930年代文艺思潮发生的基本线索；革命文学论争和以“左联”为核心的无产阶级文学思潮；战争制约下不同地域的文学分割并存；毛泽东《延安文艺座谈会上的讲话》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2.鲁迅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《呐喊》与《彷徨》：中国现代小说的开端与成熟标志；说不尽的阿Q：探讨国民性；《野草》与《朝花夕拾》；鲁迅杂文的重大意义；鲁迅杂文的思想、艺术特质；《故事新编》：鲁迅最后的创新之作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3.小说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“五四”小说取得文学正宗地位；从问题小说到为人生小说；自叙传抒情小说；左联小说和左翼小说；京派小说；海派小说；茅盾、老舍、巴金、沈从文、赵树理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4.新诗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新诗的诞生：“五四”新诗运动；尝试中的新诗：早起白话诗；开一代诗风的新诗创作；狂飙突进的时代精神：郭沫若《女神》；早期新月派诗歌及新诗规范化；中国诗歌会诗人群创作；后期新月派创作；戴望舒、卞之琳等现代派诗人创作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5.散文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《新青年》“随感录”作家群；周作人与“言志派”散文；冰心、朱自清和“文学研究会”作家散文；郁达夫和“创造社”作家散文；林语堂与幽默闲适小品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6.戏剧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文明新戏：中国现代话剧的萌芽与诞生；田汉、丁西林的小剧场创作；曹禺话剧；孤岛话剧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ascii="宋体" w:hAnsi="宋体" w:cs="Arial"/>
          <w:color w:val="000000"/>
          <w:szCs w:val="21"/>
        </w:rPr>
        <w:t>第三部分</w:t>
      </w:r>
      <w:r>
        <w:rPr>
          <w:rFonts w:hint="eastAsia" w:ascii="宋体" w:hAnsi="宋体" w:cs="Arial"/>
          <w:color w:val="000000"/>
          <w:szCs w:val="21"/>
        </w:rPr>
        <w:t xml:space="preserve">  中国当代文学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1.十七年文学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17年的文学思潮：文学新方向与文学一体化；毛泽东的文艺思想与影响；文学批判运动；矛盾冲突与分歧的性质；中心作家的文化性格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小说题材与形态：题材问题的当代重要性；农村题材的小说创作；革命历史题材的小说创作；通俗文学的当代状态；百花文学及其成就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诗歌的困境与成就：当代叙事诗；政治抒情诗；新民歌运动与红旗歌谣；现代主义诗歌的困境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17年的散文与话剧：当代散文的“复兴”；散文三大家；三家村札记与燕山夜话；历史剧的创作与讨论；《茶馆》；1964年话剧“高潮”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2.文革文学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地上文学：《纪要》及文革文学；样板戏及其美学特点；样板小说；天安门诗歌运动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地下文学：地下文学创作与文学觉醒；白洋淀诗群；手抄本小说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3.新时期文学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文学转折与新气象：制度修复与规范调整；人道主义的讨论；文学翻译与80年代文学话语资源；重写文学史的意义；新时期的中心作家构成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新时期十年诗歌：“归来者”的诗歌；朦胧诗；新生代诗歌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新时期的小说流派：伤痕反思文学；知青文学；寻根文学；现代派文学；先锋小说；新写实小说；女作家的创作；乡土小说家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新时期的散文创作：80、90年代的散文创作；老作家的散文；历史散文；艺术散文</w:t>
      </w:r>
      <w:r>
        <w:rPr>
          <w:rFonts w:ascii="宋体" w:hAnsi="宋体" w:cs="Arial"/>
          <w:color w:val="000000"/>
          <w:szCs w:val="21"/>
        </w:rPr>
        <w:br w:type="textWrapping"/>
      </w:r>
      <w:r>
        <w:rPr>
          <w:rFonts w:ascii="宋体" w:hAnsi="宋体" w:cs="Arial"/>
          <w:color w:val="000000"/>
          <w:szCs w:val="21"/>
        </w:rPr>
        <w:t>　　　　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4.90年代以来的文学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90年代的文学思潮；文学界总体状况；文学界的分化；人文精神大讨论；重写文学史的意义；文学与新传媒的结合；版税制与文学商业化；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90年代的小说创作：陕军东征；茅盾文学奖获奖作品；莫言和诺贝尔文学奖；王朔与文学市场化；女性新体验写作；作家低龄化与青春写作；网络文学；</w:t>
      </w:r>
      <w:r>
        <w:rPr>
          <w:rFonts w:ascii="宋体" w:hAnsi="宋体" w:cs="Arial"/>
          <w:color w:val="000000"/>
          <w:szCs w:val="21"/>
        </w:rPr>
        <w:br w:type="textWrapping"/>
      </w:r>
      <w:r>
        <w:rPr>
          <w:rFonts w:ascii="宋体" w:hAnsi="宋体" w:cs="Arial"/>
          <w:color w:val="000000"/>
          <w:szCs w:val="21"/>
        </w:rPr>
        <w:t>　　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/>
          <w:b/>
          <w:sz w:val="24"/>
        </w:rPr>
        <w:t>四、参考教材或主要参考书：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袁行霈主编：《中国文学史》，高等教育出版社；钱理群、温儒敏、吴福辉著：《中国现代文学三十年》，北京大学出版社；洪子诚著：《中国当代文学史》，北京大学出版社。以最新版本为准。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4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A5"/>
    <w:rsid w:val="00033309"/>
    <w:rsid w:val="0004062A"/>
    <w:rsid w:val="00054E01"/>
    <w:rsid w:val="00061B4F"/>
    <w:rsid w:val="000762FE"/>
    <w:rsid w:val="00080730"/>
    <w:rsid w:val="0008607A"/>
    <w:rsid w:val="00097EDA"/>
    <w:rsid w:val="000C25FD"/>
    <w:rsid w:val="000E6981"/>
    <w:rsid w:val="001640BE"/>
    <w:rsid w:val="001848FB"/>
    <w:rsid w:val="0019067F"/>
    <w:rsid w:val="00197215"/>
    <w:rsid w:val="001B1D70"/>
    <w:rsid w:val="001C165A"/>
    <w:rsid w:val="001C2F19"/>
    <w:rsid w:val="001E149A"/>
    <w:rsid w:val="0020731D"/>
    <w:rsid w:val="0023282D"/>
    <w:rsid w:val="0024344A"/>
    <w:rsid w:val="002A5C7C"/>
    <w:rsid w:val="002E0158"/>
    <w:rsid w:val="00311038"/>
    <w:rsid w:val="0033096F"/>
    <w:rsid w:val="003704C9"/>
    <w:rsid w:val="00375432"/>
    <w:rsid w:val="003852C3"/>
    <w:rsid w:val="003A4FD9"/>
    <w:rsid w:val="003B48F8"/>
    <w:rsid w:val="003C498A"/>
    <w:rsid w:val="003C79F9"/>
    <w:rsid w:val="003E5369"/>
    <w:rsid w:val="003E6790"/>
    <w:rsid w:val="003F61C3"/>
    <w:rsid w:val="00443036"/>
    <w:rsid w:val="004523EF"/>
    <w:rsid w:val="004716AE"/>
    <w:rsid w:val="0047269E"/>
    <w:rsid w:val="00477338"/>
    <w:rsid w:val="00483923"/>
    <w:rsid w:val="004A72D7"/>
    <w:rsid w:val="004B65A5"/>
    <w:rsid w:val="004D42EC"/>
    <w:rsid w:val="004F1816"/>
    <w:rsid w:val="00521CC0"/>
    <w:rsid w:val="00535C1D"/>
    <w:rsid w:val="005743BB"/>
    <w:rsid w:val="00581E66"/>
    <w:rsid w:val="00597CBE"/>
    <w:rsid w:val="005A796B"/>
    <w:rsid w:val="005B21BB"/>
    <w:rsid w:val="005E2211"/>
    <w:rsid w:val="00625150"/>
    <w:rsid w:val="0064727A"/>
    <w:rsid w:val="00696C06"/>
    <w:rsid w:val="006A0697"/>
    <w:rsid w:val="006E0495"/>
    <w:rsid w:val="006F7BB8"/>
    <w:rsid w:val="006F7EB7"/>
    <w:rsid w:val="0072114F"/>
    <w:rsid w:val="00741BA4"/>
    <w:rsid w:val="00786EAA"/>
    <w:rsid w:val="0079320C"/>
    <w:rsid w:val="007D6FDB"/>
    <w:rsid w:val="007E298C"/>
    <w:rsid w:val="007F4C05"/>
    <w:rsid w:val="00830FF2"/>
    <w:rsid w:val="00864E9F"/>
    <w:rsid w:val="0087510B"/>
    <w:rsid w:val="008921C1"/>
    <w:rsid w:val="00893B85"/>
    <w:rsid w:val="008A1AA2"/>
    <w:rsid w:val="0091672C"/>
    <w:rsid w:val="00971C90"/>
    <w:rsid w:val="009854A1"/>
    <w:rsid w:val="00991A5E"/>
    <w:rsid w:val="009A6931"/>
    <w:rsid w:val="00A26EEB"/>
    <w:rsid w:val="00A605E9"/>
    <w:rsid w:val="00A63AC6"/>
    <w:rsid w:val="00A8099C"/>
    <w:rsid w:val="00AB2D7C"/>
    <w:rsid w:val="00AC3832"/>
    <w:rsid w:val="00AC5F7A"/>
    <w:rsid w:val="00AD73EE"/>
    <w:rsid w:val="00B10A84"/>
    <w:rsid w:val="00B53FB4"/>
    <w:rsid w:val="00B54A9F"/>
    <w:rsid w:val="00B84AB9"/>
    <w:rsid w:val="00BA7E09"/>
    <w:rsid w:val="00BB42AE"/>
    <w:rsid w:val="00BD62F0"/>
    <w:rsid w:val="00BE2F94"/>
    <w:rsid w:val="00C176BC"/>
    <w:rsid w:val="00C404D4"/>
    <w:rsid w:val="00C5668E"/>
    <w:rsid w:val="00C65797"/>
    <w:rsid w:val="00C7337E"/>
    <w:rsid w:val="00C76400"/>
    <w:rsid w:val="00CB135C"/>
    <w:rsid w:val="00CE1668"/>
    <w:rsid w:val="00D029C7"/>
    <w:rsid w:val="00D36237"/>
    <w:rsid w:val="00D45D43"/>
    <w:rsid w:val="00D60C8A"/>
    <w:rsid w:val="00D76B44"/>
    <w:rsid w:val="00D82DC4"/>
    <w:rsid w:val="00D94FF9"/>
    <w:rsid w:val="00DB3660"/>
    <w:rsid w:val="00DD7E22"/>
    <w:rsid w:val="00DE2F8D"/>
    <w:rsid w:val="00DF53CD"/>
    <w:rsid w:val="00E1145D"/>
    <w:rsid w:val="00E31480"/>
    <w:rsid w:val="00E60B57"/>
    <w:rsid w:val="00E6651A"/>
    <w:rsid w:val="00E8034E"/>
    <w:rsid w:val="00EC6FF8"/>
    <w:rsid w:val="00EE3A0D"/>
    <w:rsid w:val="00EF1CE7"/>
    <w:rsid w:val="00F00077"/>
    <w:rsid w:val="00F10FD2"/>
    <w:rsid w:val="00F26E36"/>
    <w:rsid w:val="00F37904"/>
    <w:rsid w:val="00F70D0A"/>
    <w:rsid w:val="00F9484E"/>
    <w:rsid w:val="00FE5C11"/>
    <w:rsid w:val="00FE73E9"/>
    <w:rsid w:val="081D6CD9"/>
    <w:rsid w:val="0D3805AF"/>
    <w:rsid w:val="0E3513AA"/>
    <w:rsid w:val="21197DDD"/>
    <w:rsid w:val="2209174A"/>
    <w:rsid w:val="27DF24C3"/>
    <w:rsid w:val="2BA31F0C"/>
    <w:rsid w:val="2E5C00AA"/>
    <w:rsid w:val="2F8D1400"/>
    <w:rsid w:val="39054CF9"/>
    <w:rsid w:val="3C882EB0"/>
    <w:rsid w:val="3C954236"/>
    <w:rsid w:val="3D6B3B37"/>
    <w:rsid w:val="40C9363E"/>
    <w:rsid w:val="43E96A5E"/>
    <w:rsid w:val="46944692"/>
    <w:rsid w:val="491E1569"/>
    <w:rsid w:val="4E0A3C16"/>
    <w:rsid w:val="52794D53"/>
    <w:rsid w:val="52BB2CAF"/>
    <w:rsid w:val="57786545"/>
    <w:rsid w:val="5DD41D73"/>
    <w:rsid w:val="63D248BA"/>
    <w:rsid w:val="6DD56026"/>
    <w:rsid w:val="71CD35B0"/>
    <w:rsid w:val="77B44FD3"/>
    <w:rsid w:val="79490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4</Pages>
  <Words>352</Words>
  <Characters>2011</Characters>
  <Lines>16</Lines>
  <Paragraphs>4</Paragraphs>
  <TotalTime>0</TotalTime>
  <ScaleCrop>false</ScaleCrop>
  <LinksUpToDate>false</LinksUpToDate>
  <CharactersWithSpaces>2359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2019-08-18T07:46:00Z</dcterms:created>
  <dc:creator>jh</dc:creator>
  <cp:lastModifiedBy>Administrator</cp:lastModifiedBy>
  <cp:lastPrinted>2017-06-01T04:59:00Z</cp:lastPrinted>
  <dcterms:modified xsi:type="dcterms:W3CDTF">2021-09-15T05:04:43Z</dcterms:modified>
  <dc:title>浙江师范大学2009年硕士研究生入学考试复试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