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asci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sz w:val="32"/>
          <w:szCs w:val="32"/>
        </w:rPr>
        <w:t>华侨大学硕士研究生招生考试</w:t>
      </w:r>
    </w:p>
    <w:p>
      <w:pPr>
        <w:spacing w:line="400" w:lineRule="exact"/>
        <w:jc w:val="center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初试自命题科目考试大纲</w:t>
      </w:r>
    </w:p>
    <w:p>
      <w:pPr>
        <w:spacing w:after="468" w:afterLines="150" w:line="400" w:lineRule="exact"/>
        <w:jc w:val="center"/>
        <w:rPr>
          <w:rFonts w:hint="eastAsia" w:ascii="楷体" w:hAnsi="楷体" w:eastAsia="楷体" w:cs="楷体"/>
          <w:sz w:val="24"/>
        </w:rPr>
      </w:pPr>
    </w:p>
    <w:p>
      <w:pPr>
        <w:spacing w:before="312" w:beforeLines="100" w:after="31" w:afterLines="10" w:line="360" w:lineRule="auto"/>
        <w:jc w:val="left"/>
        <w:rPr>
          <w:rFonts w:hint="eastAsia"/>
          <w:szCs w:val="21"/>
          <w:u w:val="single"/>
        </w:rPr>
      </w:pPr>
      <w:r>
        <w:rPr>
          <w:rFonts w:hint="eastAsia"/>
          <w:szCs w:val="21"/>
        </w:rPr>
        <w:t>招生学院：</w:t>
      </w:r>
      <w:r>
        <w:rPr>
          <w:rFonts w:hint="eastAsia"/>
          <w:szCs w:val="21"/>
          <w:u w:val="single"/>
        </w:rPr>
        <w:t xml:space="preserve">       经济与金融学院        </w:t>
      </w:r>
      <w:r>
        <w:rPr>
          <w:rFonts w:hint="eastAsia"/>
          <w:szCs w:val="21"/>
        </w:rPr>
        <w:t>招生专业：</w:t>
      </w:r>
      <w:r>
        <w:rPr>
          <w:rFonts w:hint="eastAsia"/>
          <w:sz w:val="24"/>
          <w:u w:val="single"/>
        </w:rPr>
        <w:t xml:space="preserve">        </w:t>
      </w:r>
      <w:r>
        <w:rPr>
          <w:rFonts w:hint="eastAsia"/>
          <w:u w:val="single"/>
        </w:rPr>
        <w:t>金融硕士</w:t>
      </w:r>
      <w:r>
        <w:rPr>
          <w:rFonts w:hint="eastAsia"/>
          <w:sz w:val="24"/>
          <w:u w:val="single"/>
        </w:rPr>
        <w:t xml:space="preserve">            </w:t>
      </w:r>
      <w:r>
        <w:rPr>
          <w:rFonts w:hint="eastAsia"/>
          <w:sz w:val="24"/>
        </w:rPr>
        <w:t xml:space="preserve">  </w:t>
      </w:r>
    </w:p>
    <w:p>
      <w:pPr>
        <w:spacing w:before="312" w:beforeLines="100" w:after="31" w:afterLines="10" w:line="360" w:lineRule="auto"/>
        <w:jc w:val="left"/>
        <w:rPr>
          <w:rFonts w:hint="eastAsia"/>
          <w:sz w:val="24"/>
        </w:rPr>
      </w:pPr>
      <w:r>
        <w:rPr>
          <w:rFonts w:hint="eastAsia"/>
          <w:szCs w:val="21"/>
        </w:rPr>
        <w:t>科目名称：</w:t>
      </w:r>
      <w:r>
        <w:rPr>
          <w:rFonts w:hint="eastAsia"/>
          <w:szCs w:val="21"/>
          <w:u w:val="single"/>
        </w:rPr>
        <w:t xml:space="preserve">           金融学综合                    </w:t>
      </w:r>
      <w:r>
        <w:rPr>
          <w:rFonts w:hint="eastAsia"/>
          <w:sz w:val="24"/>
        </w:rPr>
        <w:t xml:space="preserve"> </w:t>
      </w:r>
    </w:p>
    <w:p>
      <w:pPr>
        <w:numPr>
          <w:ilvl w:val="0"/>
          <w:numId w:val="1"/>
        </w:numPr>
        <w:spacing w:before="312" w:beforeLines="100" w:after="31" w:afterLines="10" w:line="360" w:lineRule="auto"/>
        <w:rPr>
          <w:rFonts w:hint="eastAsia"/>
          <w:szCs w:val="21"/>
        </w:rPr>
      </w:pPr>
      <w:r>
        <w:rPr>
          <w:rFonts w:hint="eastAsia"/>
          <w:sz w:val="24"/>
        </w:rPr>
        <w:t xml:space="preserve">考试形式与试卷结构 </w:t>
      </w:r>
      <w:r>
        <w:rPr>
          <w:rFonts w:hint="eastAsia"/>
          <w:szCs w:val="21"/>
        </w:rPr>
        <w:t xml:space="preserve">   </w:t>
      </w:r>
    </w:p>
    <w:p>
      <w:pPr>
        <w:pStyle w:val="10"/>
        <w:numPr>
          <w:ilvl w:val="0"/>
          <w:numId w:val="2"/>
        </w:numPr>
        <w:spacing w:before="31" w:beforeLines="10" w:after="31" w:afterLines="10"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试卷满分值及考试时间</w:t>
      </w:r>
    </w:p>
    <w:p>
      <w:pPr>
        <w:pStyle w:val="10"/>
        <w:spacing w:before="31" w:beforeLines="10" w:after="31" w:afterLines="10" w:line="360" w:lineRule="auto"/>
        <w:ind w:firstLine="0" w:firstLineChars="0"/>
        <w:rPr>
          <w:rFonts w:ascii="新宋体" w:hAnsi="新宋体" w:eastAsia="新宋体"/>
          <w:szCs w:val="21"/>
        </w:rPr>
      </w:pPr>
      <w:r>
        <w:rPr>
          <w:rFonts w:hint="eastAsia" w:ascii="新宋体" w:hAnsi="新宋体" w:eastAsia="新宋体"/>
          <w:bCs/>
          <w:szCs w:val="21"/>
        </w:rPr>
        <w:t xml:space="preserve">   </w:t>
      </w:r>
      <w:r>
        <w:rPr>
          <w:rFonts w:hint="eastAsia" w:ascii="楷体" w:hAnsi="楷体" w:eastAsia="楷体" w:cs="楷体"/>
          <w:bCs/>
          <w:szCs w:val="21"/>
        </w:rPr>
        <w:t xml:space="preserve"> </w:t>
      </w:r>
      <w:r>
        <w:rPr>
          <w:rFonts w:hint="eastAsia" w:ascii="新宋体" w:hAnsi="新宋体" w:eastAsia="新宋体"/>
          <w:szCs w:val="21"/>
        </w:rPr>
        <w:t>本试卷满分为150分，考试时间为180分钟。</w:t>
      </w:r>
    </w:p>
    <w:p>
      <w:pPr>
        <w:pStyle w:val="9"/>
        <w:spacing w:before="31" w:beforeLines="10" w:after="31" w:afterLines="10" w:line="360" w:lineRule="auto"/>
        <w:ind w:firstLine="0" w:firstLineChars="0"/>
        <w:rPr>
          <w:rFonts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 xml:space="preserve">    （二）答题方式</w:t>
      </w:r>
    </w:p>
    <w:p>
      <w:pPr>
        <w:pStyle w:val="9"/>
        <w:spacing w:before="31" w:beforeLines="10" w:after="31" w:afterLines="10" w:line="360" w:lineRule="auto"/>
        <w:rPr>
          <w:rFonts w:hint="eastAsia"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 xml:space="preserve"> 答题方式为闭卷、笔试。试卷由试题和答题纸组成；答案必须写在答题纸（由考点提供）相应的位置上。</w:t>
      </w:r>
    </w:p>
    <w:p>
      <w:pPr>
        <w:pStyle w:val="9"/>
        <w:spacing w:before="31" w:beforeLines="10" w:after="31" w:afterLines="10" w:line="360" w:lineRule="auto"/>
        <w:rPr>
          <w:rFonts w:hint="eastAsia"/>
          <w:szCs w:val="21"/>
        </w:rPr>
      </w:pPr>
      <w:r>
        <w:rPr>
          <w:rFonts w:hint="eastAsia" w:ascii="新宋体" w:hAnsi="新宋体" w:eastAsia="新宋体"/>
          <w:szCs w:val="21"/>
        </w:rPr>
        <w:t>（三）试卷内容结构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 w:hAnsi="宋体" w:cs="Arial"/>
          <w:szCs w:val="21"/>
        </w:rPr>
      </w:pPr>
      <w:r>
        <w:rPr>
          <w:rFonts w:hint="eastAsia" w:ascii="宋体" w:hAnsi="宋体" w:cs="Arial"/>
          <w:szCs w:val="21"/>
        </w:rPr>
        <w:t>考试内容主要包括：《西方经济学》（</w:t>
      </w:r>
      <w:r>
        <w:rPr>
          <w:rFonts w:ascii="宋体" w:hAnsi="宋体" w:cs="Arial"/>
          <w:szCs w:val="21"/>
        </w:rPr>
        <w:t>40%</w:t>
      </w:r>
      <w:r>
        <w:rPr>
          <w:rFonts w:hint="eastAsia" w:ascii="宋体" w:hAnsi="宋体" w:cs="Arial"/>
          <w:szCs w:val="21"/>
        </w:rPr>
        <w:t>），《金融学》(</w:t>
      </w:r>
      <w:r>
        <w:rPr>
          <w:rFonts w:ascii="宋体" w:hAnsi="宋体" w:cs="Arial"/>
          <w:szCs w:val="21"/>
        </w:rPr>
        <w:t>6</w:t>
      </w:r>
      <w:r>
        <w:rPr>
          <w:rFonts w:hint="eastAsia" w:ascii="宋体" w:hAnsi="宋体" w:cs="Arial"/>
          <w:szCs w:val="21"/>
        </w:rPr>
        <w:t>0%)。</w:t>
      </w:r>
    </w:p>
    <w:p>
      <w:pPr>
        <w:pStyle w:val="9"/>
        <w:spacing w:before="31" w:beforeLines="10" w:after="31" w:afterLines="10" w:line="360" w:lineRule="auto"/>
        <w:rPr>
          <w:rFonts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>（四）试卷题型结构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1.单项选择题（</w:t>
      </w:r>
      <w:r>
        <w:rPr>
          <w:rFonts w:ascii="宋体" w:hAnsi="宋体"/>
          <w:szCs w:val="21"/>
        </w:rPr>
        <w:t>40</w:t>
      </w:r>
      <w:r>
        <w:rPr>
          <w:rFonts w:hint="eastAsia" w:ascii="宋体" w:hAnsi="宋体"/>
          <w:szCs w:val="21"/>
        </w:rPr>
        <w:t>分），共</w:t>
      </w:r>
      <w:r>
        <w:rPr>
          <w:rFonts w:ascii="宋体" w:hAnsi="宋体"/>
          <w:szCs w:val="21"/>
        </w:rPr>
        <w:t>20</w:t>
      </w:r>
      <w:r>
        <w:rPr>
          <w:rFonts w:hint="eastAsia" w:ascii="宋体" w:hAnsi="宋体"/>
          <w:szCs w:val="21"/>
        </w:rPr>
        <w:t>题；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2</w:t>
      </w:r>
      <w:r>
        <w:rPr>
          <w:rFonts w:hint="eastAsia" w:ascii="宋体" w:hAnsi="宋体"/>
          <w:szCs w:val="21"/>
        </w:rPr>
        <w:t>.简答题（</w:t>
      </w:r>
      <w:r>
        <w:rPr>
          <w:rFonts w:ascii="宋体" w:hAnsi="宋体"/>
          <w:szCs w:val="21"/>
        </w:rPr>
        <w:t>60</w:t>
      </w:r>
      <w:r>
        <w:rPr>
          <w:rFonts w:hint="eastAsia" w:ascii="宋体" w:hAnsi="宋体"/>
          <w:szCs w:val="21"/>
        </w:rPr>
        <w:t>分），共</w:t>
      </w:r>
      <w:r>
        <w:rPr>
          <w:rFonts w:ascii="宋体" w:hAnsi="宋体"/>
          <w:szCs w:val="21"/>
        </w:rPr>
        <w:t>6</w:t>
      </w:r>
      <w:r>
        <w:rPr>
          <w:rFonts w:hint="eastAsia" w:ascii="宋体" w:hAnsi="宋体"/>
          <w:szCs w:val="21"/>
        </w:rPr>
        <w:t>道；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t>3.</w:t>
      </w:r>
      <w:r>
        <w:rPr>
          <w:rFonts w:hint="eastAsia" w:ascii="宋体" w:hAnsi="宋体"/>
          <w:szCs w:val="21"/>
        </w:rPr>
        <w:t>计算题（</w:t>
      </w:r>
      <w:r>
        <w:rPr>
          <w:rFonts w:ascii="宋体" w:hAnsi="宋体"/>
          <w:szCs w:val="21"/>
        </w:rPr>
        <w:t>30</w:t>
      </w:r>
      <w:r>
        <w:rPr>
          <w:rFonts w:hint="eastAsia" w:ascii="宋体" w:hAnsi="宋体"/>
          <w:szCs w:val="21"/>
        </w:rPr>
        <w:t>分），共2题；</w:t>
      </w:r>
    </w:p>
    <w:p>
      <w:pPr>
        <w:spacing w:line="360" w:lineRule="auto"/>
        <w:ind w:firstLine="420" w:firstLineChars="200"/>
        <w:rPr>
          <w:rFonts w:hint="eastAsia" w:ascii="宋体" w:hAnsi="宋体"/>
          <w:bCs/>
          <w:szCs w:val="21"/>
        </w:rPr>
      </w:pPr>
      <w:r>
        <w:rPr>
          <w:rFonts w:ascii="宋体" w:hAnsi="宋体"/>
          <w:szCs w:val="21"/>
        </w:rPr>
        <w:t>4</w:t>
      </w:r>
      <w:r>
        <w:rPr>
          <w:rFonts w:hint="eastAsia" w:ascii="宋体" w:hAnsi="宋体"/>
          <w:szCs w:val="21"/>
        </w:rPr>
        <w:t>.论述题（</w:t>
      </w:r>
      <w:r>
        <w:rPr>
          <w:rFonts w:ascii="宋体" w:hAnsi="宋体"/>
          <w:szCs w:val="21"/>
        </w:rPr>
        <w:t>2</w:t>
      </w:r>
      <w:r>
        <w:rPr>
          <w:rFonts w:hint="eastAsia" w:ascii="宋体" w:hAnsi="宋体"/>
          <w:szCs w:val="21"/>
        </w:rPr>
        <w:t>0分），共</w:t>
      </w:r>
      <w:r>
        <w:rPr>
          <w:rFonts w:ascii="宋体" w:hAnsi="宋体"/>
          <w:szCs w:val="21"/>
        </w:rPr>
        <w:t>1</w:t>
      </w:r>
      <w:r>
        <w:rPr>
          <w:rFonts w:hint="eastAsia" w:ascii="宋体" w:hAnsi="宋体"/>
          <w:szCs w:val="21"/>
        </w:rPr>
        <w:t>道。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二、考查目标</w:t>
      </w:r>
    </w:p>
    <w:p>
      <w:pPr>
        <w:spacing w:line="360" w:lineRule="auto"/>
        <w:ind w:firstLine="420" w:firstLineChars="200"/>
        <w:rPr>
          <w:rFonts w:hint="eastAsia" w:ascii="宋体" w:hAnsi="宋体" w:cs="Arial"/>
          <w:szCs w:val="21"/>
        </w:rPr>
      </w:pPr>
      <w:r>
        <w:rPr>
          <w:rFonts w:hint="eastAsia" w:ascii="宋体" w:hAnsi="宋体" w:cs="Arial"/>
          <w:szCs w:val="21"/>
        </w:rPr>
        <w:t>课程考试的目的在于</w:t>
      </w:r>
      <w:r>
        <w:rPr>
          <w:rFonts w:ascii="宋体" w:hAnsi="宋体" w:cs="Arial"/>
          <w:szCs w:val="21"/>
        </w:rPr>
        <w:t>测试考生对</w:t>
      </w:r>
      <w:r>
        <w:rPr>
          <w:rFonts w:hint="eastAsia" w:ascii="宋体" w:hAnsi="宋体" w:cs="Arial"/>
          <w:szCs w:val="21"/>
        </w:rPr>
        <w:t>于《西方经济学》中微观部分和宏观部分，以及《金融学》相关</w:t>
      </w:r>
      <w:r>
        <w:rPr>
          <w:rFonts w:ascii="宋体" w:hAnsi="宋体" w:cs="Arial"/>
          <w:szCs w:val="21"/>
        </w:rPr>
        <w:t>的</w:t>
      </w:r>
      <w:r>
        <w:rPr>
          <w:rFonts w:hint="eastAsia" w:ascii="宋体" w:hAnsi="宋体" w:cs="Arial"/>
          <w:szCs w:val="21"/>
        </w:rPr>
        <w:t>基本概念、</w:t>
      </w:r>
      <w:r>
        <w:rPr>
          <w:rFonts w:ascii="宋体" w:hAnsi="宋体" w:cs="Arial"/>
          <w:szCs w:val="21"/>
        </w:rPr>
        <w:t>基本</w:t>
      </w:r>
      <w:r>
        <w:rPr>
          <w:rFonts w:hint="eastAsia" w:ascii="宋体" w:hAnsi="宋体" w:cs="Arial"/>
          <w:szCs w:val="21"/>
        </w:rPr>
        <w:t>理论、基础知识</w:t>
      </w:r>
      <w:r>
        <w:rPr>
          <w:rFonts w:ascii="宋体" w:hAnsi="宋体" w:cs="Arial"/>
          <w:szCs w:val="21"/>
        </w:rPr>
        <w:t>的</w:t>
      </w:r>
      <w:r>
        <w:rPr>
          <w:rFonts w:hint="eastAsia" w:ascii="宋体" w:hAnsi="宋体" w:cs="Arial"/>
          <w:szCs w:val="21"/>
        </w:rPr>
        <w:t>掌握情况，以及综合运用分析和解决金融现实问题的能力</w:t>
      </w:r>
      <w:r>
        <w:rPr>
          <w:rFonts w:ascii="宋体" w:hAnsi="宋体" w:cs="Arial"/>
          <w:szCs w:val="21"/>
        </w:rPr>
        <w:t>。</w:t>
      </w:r>
    </w:p>
    <w:p>
      <w:pPr>
        <w:numPr>
          <w:ilvl w:val="0"/>
          <w:numId w:val="3"/>
        </w:numPr>
        <w:spacing w:before="31" w:beforeLines="10" w:after="31" w:afterLines="10" w:line="360" w:lineRule="auto"/>
        <w:rPr>
          <w:rFonts w:hint="eastAsia"/>
          <w:sz w:val="24"/>
        </w:rPr>
      </w:pPr>
      <w:r>
        <w:rPr>
          <w:rFonts w:hint="eastAsia"/>
          <w:sz w:val="24"/>
        </w:rPr>
        <w:t>考查范围或考试内容概要</w:t>
      </w:r>
    </w:p>
    <w:p>
      <w:pPr>
        <w:adjustRightInd w:val="0"/>
        <w:snapToGrid w:val="0"/>
        <w:spacing w:line="360" w:lineRule="auto"/>
        <w:ind w:firstLine="405"/>
        <w:rPr>
          <w:rFonts w:ascii="宋体" w:hAnsi="宋体" w:cs="Arial"/>
          <w:bCs/>
          <w:szCs w:val="21"/>
        </w:rPr>
      </w:pPr>
      <w:r>
        <w:rPr>
          <w:rFonts w:hint="eastAsia" w:ascii="宋体" w:hAnsi="宋体" w:cs="Arial"/>
          <w:bCs/>
          <w:szCs w:val="21"/>
        </w:rPr>
        <w:t>第一部分《西方经济学》</w:t>
      </w:r>
    </w:p>
    <w:p>
      <w:pPr>
        <w:adjustRightInd w:val="0"/>
        <w:snapToGrid w:val="0"/>
        <w:spacing w:line="360" w:lineRule="auto"/>
        <w:ind w:firstLine="420"/>
        <w:rPr>
          <w:rFonts w:hint="eastAsia" w:ascii="宋体"/>
          <w:szCs w:val="21"/>
        </w:rPr>
      </w:pPr>
      <w:r>
        <w:rPr>
          <w:rFonts w:hint="eastAsia" w:ascii="宋体" w:hAnsi="宋体" w:cs="Arial"/>
          <w:szCs w:val="21"/>
        </w:rPr>
        <w:t>（一）微观经济学部分</w:t>
      </w:r>
      <w:r>
        <w:rPr>
          <w:rFonts w:ascii="宋体" w:hAnsi="宋体" w:cs="Arial"/>
          <w:szCs w:val="21"/>
        </w:rPr>
        <w:br w:type="textWrapping"/>
      </w:r>
      <w:r>
        <w:rPr>
          <w:rFonts w:ascii="宋体" w:hAnsi="宋体" w:cs="Arial"/>
          <w:szCs w:val="21"/>
        </w:rPr>
        <w:t>　　</w:t>
      </w:r>
      <w:r>
        <w:rPr>
          <w:rFonts w:hint="eastAsia" w:ascii="宋体" w:hAnsi="宋体" w:cs="Arial"/>
          <w:szCs w:val="21"/>
        </w:rPr>
        <w:t>1.市场供求及其均衡分析</w:t>
      </w:r>
      <w:r>
        <w:rPr>
          <w:rFonts w:ascii="宋体" w:hAnsi="宋体" w:cs="Arial"/>
          <w:szCs w:val="21"/>
        </w:rPr>
        <w:t xml:space="preserve"> </w:t>
      </w:r>
      <w:r>
        <w:rPr>
          <w:rFonts w:ascii="宋体" w:hAnsi="宋体" w:cs="Arial"/>
          <w:szCs w:val="21"/>
        </w:rPr>
        <w:br w:type="textWrapping"/>
      </w:r>
      <w:r>
        <w:rPr>
          <w:rFonts w:ascii="宋体" w:hAnsi="宋体" w:cs="Arial"/>
          <w:szCs w:val="21"/>
        </w:rPr>
        <w:t>　　</w:t>
      </w:r>
      <w:r>
        <w:rPr>
          <w:rFonts w:hint="eastAsia" w:ascii="宋体"/>
          <w:szCs w:val="21"/>
        </w:rPr>
        <w:t>需求、需求函数、需求规律 、需求量的变化和需求的变化；供给、供给函数、供给规律、供给量的变化和供给的变化；均衡价格的决定；均衡价格的变动；需求的价格弹性、需求的交叉价格弹性、需求的收入弹性、恩格尔定律、供给价格弹性。</w:t>
      </w:r>
      <w:r>
        <w:rPr>
          <w:rFonts w:ascii="宋体" w:hAnsi="宋体" w:cs="Arial"/>
          <w:szCs w:val="21"/>
        </w:rPr>
        <w:br w:type="textWrapping"/>
      </w:r>
      <w:r>
        <w:rPr>
          <w:rFonts w:ascii="宋体" w:hAnsi="宋体" w:cs="Arial"/>
          <w:szCs w:val="21"/>
        </w:rPr>
        <w:t>　</w:t>
      </w:r>
      <w:r>
        <w:rPr>
          <w:rFonts w:hint="eastAsia" w:ascii="宋体" w:hAnsi="宋体" w:cs="Arial"/>
          <w:szCs w:val="21"/>
        </w:rPr>
        <w:t xml:space="preserve">  2.消费者选择</w:t>
      </w:r>
      <w:r>
        <w:rPr>
          <w:rFonts w:ascii="宋体" w:hAnsi="宋体" w:cs="Arial"/>
          <w:szCs w:val="21"/>
        </w:rPr>
        <w:br w:type="textWrapping"/>
      </w:r>
      <w:r>
        <w:rPr>
          <w:rFonts w:ascii="宋体" w:hAnsi="宋体" w:cs="Arial"/>
          <w:szCs w:val="21"/>
        </w:rPr>
        <w:t>　</w:t>
      </w:r>
      <w:r>
        <w:rPr>
          <w:rFonts w:ascii="宋体"/>
          <w:szCs w:val="21"/>
        </w:rPr>
        <w:t>　</w:t>
      </w:r>
      <w:r>
        <w:rPr>
          <w:rFonts w:hint="eastAsia" w:ascii="宋体"/>
          <w:szCs w:val="21"/>
        </w:rPr>
        <w:t>总效用和边际效用及其关系、边际效用递减规律、消费者均衡条件、消费者剩余、偏好假定、无差异曲线及特点、商品的边际替代率；无差异曲线的特殊形状；预算线、预算线的变动、消费者均衡条件、收入—消费曲线、恩格尔曲线、价格—消费曲线，替代效应、收入效应。</w:t>
      </w:r>
      <w:r>
        <w:rPr>
          <w:rFonts w:ascii="宋体"/>
          <w:szCs w:val="21"/>
        </w:rPr>
        <w:t xml:space="preserve"> </w:t>
      </w:r>
      <w:r>
        <w:rPr>
          <w:rFonts w:ascii="宋体" w:hAnsi="宋体" w:cs="Arial"/>
          <w:szCs w:val="21"/>
        </w:rPr>
        <w:br w:type="textWrapping"/>
      </w:r>
      <w:r>
        <w:rPr>
          <w:rFonts w:ascii="宋体" w:hAnsi="宋体" w:cs="Arial"/>
          <w:szCs w:val="21"/>
        </w:rPr>
        <w:t>　　</w:t>
      </w:r>
      <w:r>
        <w:rPr>
          <w:rFonts w:hint="eastAsia" w:ascii="宋体" w:hAnsi="宋体" w:cs="Arial"/>
          <w:szCs w:val="21"/>
        </w:rPr>
        <w:t>3.生产者选择</w:t>
      </w:r>
      <w:r>
        <w:rPr>
          <w:rFonts w:ascii="宋体" w:hAnsi="宋体" w:cs="Arial"/>
          <w:szCs w:val="21"/>
        </w:rPr>
        <w:br w:type="textWrapping"/>
      </w:r>
      <w:r>
        <w:rPr>
          <w:rFonts w:ascii="宋体" w:hAnsi="宋体" w:cs="Arial"/>
          <w:szCs w:val="21"/>
        </w:rPr>
        <w:t>　　</w:t>
      </w:r>
      <w:r>
        <w:rPr>
          <w:rFonts w:hint="eastAsia"/>
          <w:szCs w:val="21"/>
        </w:rPr>
        <w:t>生产函数，固定投入比例生产函数</w:t>
      </w:r>
      <w:r>
        <w:rPr>
          <w:rFonts w:hint="eastAsia" w:ascii="宋体"/>
          <w:szCs w:val="21"/>
        </w:rPr>
        <w:t>；</w:t>
      </w:r>
      <w:r>
        <w:rPr>
          <w:rFonts w:hint="eastAsia"/>
          <w:szCs w:val="21"/>
        </w:rPr>
        <w:t>柯布—道格拉斯生产函数</w:t>
      </w:r>
      <w:r>
        <w:rPr>
          <w:rFonts w:hint="eastAsia" w:ascii="宋体"/>
          <w:szCs w:val="21"/>
        </w:rPr>
        <w:t>、</w:t>
      </w:r>
      <w:r>
        <w:rPr>
          <w:rFonts w:hint="eastAsia"/>
          <w:szCs w:val="21"/>
        </w:rPr>
        <w:t>生产的短期和长期</w:t>
      </w:r>
      <w:r>
        <w:rPr>
          <w:rFonts w:hint="eastAsia" w:ascii="宋体"/>
          <w:szCs w:val="21"/>
        </w:rPr>
        <w:t>、</w:t>
      </w:r>
      <w:r>
        <w:rPr>
          <w:rFonts w:hint="eastAsia"/>
          <w:szCs w:val="21"/>
        </w:rPr>
        <w:t>总产量、平均产量和边际产量、边际报酬递减规律、</w:t>
      </w:r>
      <w:r>
        <w:rPr>
          <w:sz w:val="14"/>
          <w:szCs w:val="14"/>
        </w:rPr>
        <w:t> </w:t>
      </w:r>
      <w:r>
        <w:rPr>
          <w:szCs w:val="21"/>
        </w:rPr>
        <w:t>TP</w:t>
      </w:r>
      <w:r>
        <w:rPr>
          <w:szCs w:val="21"/>
          <w:vertAlign w:val="subscript"/>
        </w:rPr>
        <w:t>L</w:t>
      </w:r>
      <w:r>
        <w:rPr>
          <w:rFonts w:hint="eastAsia"/>
          <w:szCs w:val="21"/>
        </w:rPr>
        <w:t>、</w:t>
      </w:r>
      <w:r>
        <w:rPr>
          <w:szCs w:val="21"/>
        </w:rPr>
        <w:t>AP</w:t>
      </w:r>
      <w:r>
        <w:rPr>
          <w:szCs w:val="21"/>
          <w:vertAlign w:val="subscript"/>
        </w:rPr>
        <w:t>L</w:t>
      </w:r>
      <w:r>
        <w:rPr>
          <w:rFonts w:hint="eastAsia"/>
          <w:szCs w:val="21"/>
        </w:rPr>
        <w:t>、</w:t>
      </w:r>
      <w:r>
        <w:rPr>
          <w:szCs w:val="21"/>
        </w:rPr>
        <w:t>MP</w:t>
      </w:r>
      <w:r>
        <w:rPr>
          <w:szCs w:val="21"/>
          <w:vertAlign w:val="subscript"/>
        </w:rPr>
        <w:t>L</w:t>
      </w:r>
      <w:r>
        <w:rPr>
          <w:rFonts w:hint="eastAsia"/>
          <w:szCs w:val="21"/>
        </w:rPr>
        <w:t>的相互关系、短期生产的三个阶段、等产量曲线、边际技术替代率递减规律、规模报酬；机会成本、显成本、隐成本、经济利润、正常利润</w:t>
      </w:r>
      <w:r>
        <w:rPr>
          <w:szCs w:val="21"/>
        </w:rPr>
        <w:t> </w:t>
      </w:r>
      <w:r>
        <w:rPr>
          <w:rFonts w:hint="eastAsia"/>
          <w:szCs w:val="21"/>
        </w:rPr>
        <w:t>、等成本线；扩展线、由扩展线到总成本线、厂商的短期成本、厂商的长期成本；规模经济和规模不经济、外在经济和外在不经济。</w:t>
      </w:r>
      <w:r>
        <w:rPr>
          <w:rFonts w:ascii="宋体" w:hAnsi="宋体" w:cs="Arial"/>
          <w:szCs w:val="21"/>
        </w:rPr>
        <w:br w:type="textWrapping"/>
      </w:r>
      <w:r>
        <w:rPr>
          <w:rFonts w:ascii="宋体" w:hAnsi="宋体" w:cs="Arial"/>
          <w:szCs w:val="21"/>
        </w:rPr>
        <w:t>　　</w:t>
      </w:r>
      <w:r>
        <w:rPr>
          <w:rFonts w:hint="eastAsia" w:ascii="宋体" w:hAnsi="宋体" w:cs="Arial"/>
          <w:szCs w:val="21"/>
        </w:rPr>
        <w:t>4.完全竞争</w:t>
      </w:r>
      <w:r>
        <w:rPr>
          <w:rFonts w:ascii="宋体" w:hAnsi="宋体" w:cs="Arial"/>
          <w:szCs w:val="21"/>
        </w:rPr>
        <w:br w:type="textWrapping"/>
      </w:r>
      <w:r>
        <w:rPr>
          <w:rFonts w:ascii="宋体" w:hAnsi="宋体" w:cs="Arial"/>
          <w:szCs w:val="21"/>
        </w:rPr>
        <w:t>　　</w:t>
      </w:r>
      <w:r>
        <w:rPr>
          <w:rFonts w:hint="eastAsia" w:ascii="宋体" w:hAnsi="宋体"/>
          <w:bCs/>
          <w:szCs w:val="32"/>
        </w:rPr>
        <w:t>市场类型划分的标准</w:t>
      </w:r>
      <w:r>
        <w:rPr>
          <w:rFonts w:hint="eastAsia" w:ascii="宋体" w:hAnsi="宋体"/>
          <w:szCs w:val="32"/>
        </w:rPr>
        <w:t>；</w:t>
      </w:r>
      <w:r>
        <w:rPr>
          <w:rFonts w:hint="eastAsia" w:ascii="宋体" w:hAnsi="宋体"/>
          <w:bCs/>
          <w:szCs w:val="32"/>
        </w:rPr>
        <w:t>完全竞争市场的条件、完全竞争市场的需求曲线</w:t>
      </w:r>
      <w:r>
        <w:rPr>
          <w:rFonts w:hint="eastAsia" w:ascii="宋体" w:hAnsi="宋体"/>
          <w:szCs w:val="32"/>
        </w:rPr>
        <w:t>、</w:t>
      </w:r>
      <w:r>
        <w:rPr>
          <w:rFonts w:hint="eastAsia" w:ascii="宋体" w:hAnsi="宋体"/>
          <w:bCs/>
          <w:szCs w:val="32"/>
        </w:rPr>
        <w:t>完全竞争厂商的需求曲线</w:t>
      </w:r>
      <w:r>
        <w:rPr>
          <w:rFonts w:hint="eastAsia" w:ascii="宋体" w:hAnsi="宋体"/>
          <w:szCs w:val="32"/>
        </w:rPr>
        <w:t>、厂商的收益及其曲线。</w:t>
      </w:r>
      <w:r>
        <w:rPr>
          <w:rFonts w:hint="eastAsia" w:ascii="宋体" w:hAnsi="宋体"/>
          <w:bCs/>
          <w:szCs w:val="32"/>
        </w:rPr>
        <w:t>厂商实现最大利润的均衡条件</w:t>
      </w:r>
      <w:r>
        <w:rPr>
          <w:rFonts w:hint="eastAsia" w:ascii="宋体" w:hAnsi="宋体"/>
          <w:szCs w:val="32"/>
        </w:rPr>
        <w:t>、</w:t>
      </w:r>
      <w:r>
        <w:rPr>
          <w:rFonts w:hint="eastAsia" w:ascii="宋体" w:hAnsi="宋体"/>
          <w:bCs/>
          <w:szCs w:val="32"/>
        </w:rPr>
        <w:t>完全竞争厂商的短期均衡</w:t>
      </w:r>
      <w:r>
        <w:rPr>
          <w:rFonts w:hint="eastAsia" w:ascii="宋体" w:hAnsi="宋体"/>
          <w:szCs w:val="32"/>
        </w:rPr>
        <w:t>五种情况、</w:t>
      </w:r>
      <w:r>
        <w:rPr>
          <w:rFonts w:hint="eastAsia" w:ascii="宋体" w:hAnsi="宋体"/>
          <w:bCs/>
          <w:szCs w:val="32"/>
        </w:rPr>
        <w:t>完全竞争厂商的短期供给曲线、生产者剩余、完全竞争行业的短期供给曲线、完全竞争厂商的长期均衡、完全竞争行业的</w:t>
      </w:r>
      <w:r>
        <w:rPr>
          <w:rFonts w:hint="eastAsia" w:ascii="宋体" w:hAnsi="宋体"/>
          <w:szCs w:val="32"/>
        </w:rPr>
        <w:t>长期供给曲线；完全竞争市场的福利分析。</w:t>
      </w:r>
      <w:r>
        <w:rPr>
          <w:rFonts w:ascii="宋体" w:hAnsi="宋体" w:cs="Arial"/>
          <w:szCs w:val="21"/>
        </w:rPr>
        <w:br w:type="textWrapping"/>
      </w:r>
      <w:r>
        <w:rPr>
          <w:rFonts w:ascii="宋体" w:hAnsi="宋体" w:cs="Arial"/>
          <w:szCs w:val="21"/>
        </w:rPr>
        <w:t>　　</w:t>
      </w:r>
      <w:r>
        <w:rPr>
          <w:rFonts w:hint="eastAsia" w:ascii="宋体" w:hAnsi="宋体" w:cs="Arial"/>
          <w:szCs w:val="21"/>
        </w:rPr>
        <w:t>5.不完全竞争</w:t>
      </w:r>
      <w:r>
        <w:rPr>
          <w:rFonts w:ascii="宋体" w:hAnsi="宋体" w:cs="Arial"/>
          <w:szCs w:val="21"/>
        </w:rPr>
        <w:br w:type="textWrapping"/>
      </w:r>
      <w:r>
        <w:rPr>
          <w:rFonts w:ascii="宋体" w:hAnsi="宋体" w:cs="Arial"/>
          <w:szCs w:val="21"/>
        </w:rPr>
        <w:t>　　</w:t>
      </w:r>
      <w:r>
        <w:rPr>
          <w:rFonts w:hint="eastAsia" w:ascii="宋体" w:hAnsi="宋体"/>
          <w:bCs/>
          <w:szCs w:val="32"/>
        </w:rPr>
        <w:t>垄断市场的条件</w:t>
      </w:r>
      <w:r>
        <w:rPr>
          <w:rFonts w:hint="eastAsia" w:ascii="宋体" w:hAnsi="宋体"/>
          <w:szCs w:val="32"/>
        </w:rPr>
        <w:t>、</w:t>
      </w:r>
      <w:r>
        <w:rPr>
          <w:rFonts w:hint="eastAsia" w:ascii="宋体" w:hAnsi="宋体"/>
          <w:bCs/>
          <w:szCs w:val="32"/>
        </w:rPr>
        <w:t>垄断形成的原因</w:t>
      </w:r>
      <w:r>
        <w:rPr>
          <w:rFonts w:hint="eastAsia" w:ascii="宋体" w:hAnsi="宋体"/>
          <w:szCs w:val="32"/>
        </w:rPr>
        <w:t>、</w:t>
      </w:r>
      <w:r>
        <w:rPr>
          <w:rFonts w:hint="eastAsia" w:ascii="宋体" w:hAnsi="宋体"/>
          <w:bCs/>
          <w:szCs w:val="32"/>
        </w:rPr>
        <w:t>垄断厂商的需求曲线、</w:t>
      </w:r>
      <w:r>
        <w:rPr>
          <w:rFonts w:hint="eastAsia"/>
          <w:bCs/>
          <w:szCs w:val="21"/>
        </w:rPr>
        <w:t>垄断厂商的边际收益曲线、垄断厂商的总收益曲线</w:t>
      </w:r>
      <w:r>
        <w:rPr>
          <w:rFonts w:hint="eastAsia"/>
          <w:szCs w:val="21"/>
        </w:rPr>
        <w:t>、</w:t>
      </w:r>
      <w:r>
        <w:rPr>
          <w:rFonts w:hint="eastAsia" w:ascii="宋体" w:hAnsi="宋体"/>
          <w:bCs/>
          <w:szCs w:val="32"/>
        </w:rPr>
        <w:t>垄断厂商的短期均衡</w:t>
      </w:r>
      <w:r>
        <w:rPr>
          <w:rFonts w:hint="eastAsia" w:ascii="宋体" w:hAnsi="宋体"/>
          <w:szCs w:val="32"/>
        </w:rPr>
        <w:t>、</w:t>
      </w:r>
      <w:r>
        <w:rPr>
          <w:rFonts w:hint="eastAsia" w:ascii="宋体" w:hAnsi="宋体"/>
          <w:bCs/>
          <w:szCs w:val="32"/>
        </w:rPr>
        <w:t>垄断厂商的长期均衡</w:t>
      </w:r>
      <w:r>
        <w:rPr>
          <w:rFonts w:hint="eastAsia" w:ascii="宋体" w:hAnsi="宋体"/>
          <w:szCs w:val="32"/>
        </w:rPr>
        <w:t>；</w:t>
      </w:r>
      <w:r>
        <w:rPr>
          <w:rFonts w:hint="eastAsia" w:ascii="宋体" w:hAnsi="宋体"/>
          <w:bCs/>
          <w:szCs w:val="32"/>
        </w:rPr>
        <w:t>价格歧视</w:t>
      </w:r>
      <w:r>
        <w:rPr>
          <w:rFonts w:hint="eastAsia" w:ascii="宋体" w:hAnsi="宋体"/>
          <w:szCs w:val="32"/>
        </w:rPr>
        <w:t>；</w:t>
      </w:r>
      <w:r>
        <w:rPr>
          <w:rFonts w:hint="eastAsia" w:ascii="宋体" w:hAnsi="宋体"/>
          <w:bCs/>
          <w:szCs w:val="32"/>
        </w:rPr>
        <w:t>垄断竞争的条件、垄断竞争厂商的需求曲线、垄断竞争厂商的短期均衡、垄断竞争厂商的长期均衡、垄断竞争与理想的产量、非价格竞争；寡头市场的特征、</w:t>
      </w:r>
      <w:r>
        <w:rPr>
          <w:rFonts w:hint="eastAsia" w:ascii="宋体"/>
          <w:szCs w:val="21"/>
        </w:rPr>
        <w:t>古诺模型、斯威齐模型、斯塔克伯模型和价格领导模型；</w:t>
      </w:r>
      <w:r>
        <w:rPr>
          <w:rFonts w:hint="eastAsia" w:ascii="宋体" w:hAnsi="宋体"/>
          <w:bCs/>
          <w:szCs w:val="32"/>
        </w:rPr>
        <w:t>不同市场的经济效率的比较。</w:t>
      </w:r>
      <w:r>
        <w:rPr>
          <w:rFonts w:ascii="宋体" w:hAnsi="宋体" w:cs="Arial"/>
          <w:szCs w:val="21"/>
        </w:rPr>
        <w:br w:type="textWrapping"/>
      </w:r>
      <w:r>
        <w:rPr>
          <w:rFonts w:ascii="宋体" w:hAnsi="宋体" w:cs="Arial"/>
          <w:szCs w:val="21"/>
        </w:rPr>
        <w:t>　　</w:t>
      </w:r>
      <w:r>
        <w:rPr>
          <w:rFonts w:hint="eastAsia" w:ascii="宋体" w:hAnsi="宋体" w:cs="Arial"/>
          <w:szCs w:val="21"/>
        </w:rPr>
        <w:t>6.要素市场与一般均衡</w:t>
      </w:r>
      <w:r>
        <w:rPr>
          <w:rFonts w:ascii="宋体" w:hAnsi="宋体" w:cs="Arial"/>
          <w:szCs w:val="21"/>
        </w:rPr>
        <w:br w:type="textWrapping"/>
      </w:r>
      <w:r>
        <w:rPr>
          <w:rFonts w:ascii="宋体" w:hAnsi="宋体" w:cs="Arial"/>
          <w:szCs w:val="21"/>
        </w:rPr>
        <w:t>　　</w:t>
      </w:r>
      <w:r>
        <w:rPr>
          <w:rFonts w:hint="eastAsia"/>
          <w:bCs/>
          <w:szCs w:val="28"/>
        </w:rPr>
        <w:t>完全竞争厂商使用要素的原则</w:t>
      </w:r>
      <w:r>
        <w:rPr>
          <w:rFonts w:hint="eastAsia"/>
          <w:szCs w:val="32"/>
        </w:rPr>
        <w:t>；</w:t>
      </w:r>
      <w:r>
        <w:rPr>
          <w:rFonts w:hint="eastAsia" w:ascii="宋体"/>
          <w:szCs w:val="21"/>
        </w:rPr>
        <w:t>劳动供给曲线、均衡工资的决定；土地供给曲线、地租的决定、租金、准租金和经济租金；洛伦兹曲线和基尼系数；帕累托最优状态标准、帕累托改进、交换的帕累托最优条件、生产的帕累托最优条件、交换和生产的帕累托最优条件；完全竞争和帕累托最优状态。</w:t>
      </w:r>
      <w:r>
        <w:rPr>
          <w:rFonts w:ascii="宋体" w:hAnsi="宋体" w:cs="Arial"/>
          <w:szCs w:val="21"/>
        </w:rPr>
        <w:br w:type="textWrapping"/>
      </w:r>
      <w:r>
        <w:rPr>
          <w:rFonts w:ascii="宋体" w:hAnsi="宋体" w:cs="Arial"/>
          <w:szCs w:val="21"/>
        </w:rPr>
        <w:t>　　</w:t>
      </w:r>
      <w:r>
        <w:rPr>
          <w:rFonts w:hint="eastAsia" w:ascii="宋体" w:hAnsi="宋体" w:cs="Arial"/>
          <w:szCs w:val="21"/>
        </w:rPr>
        <w:t>7.市场失灵和微观经济政策</w:t>
      </w:r>
      <w:r>
        <w:rPr>
          <w:rFonts w:ascii="宋体" w:hAnsi="宋体" w:cs="Arial"/>
          <w:szCs w:val="21"/>
        </w:rPr>
        <w:br w:type="textWrapping"/>
      </w:r>
      <w:r>
        <w:rPr>
          <w:rFonts w:ascii="宋体" w:hAnsi="宋体" w:cs="Arial"/>
          <w:szCs w:val="21"/>
        </w:rPr>
        <w:t>　</w:t>
      </w:r>
      <w:r>
        <w:rPr>
          <w:rFonts w:ascii="宋体"/>
          <w:szCs w:val="21"/>
        </w:rPr>
        <w:t>　</w:t>
      </w:r>
      <w:r>
        <w:rPr>
          <w:rFonts w:hint="eastAsia" w:ascii="宋体"/>
          <w:szCs w:val="21"/>
        </w:rPr>
        <w:t>垄断与低效率；对垄断管制的办法；外部影响及其分类、外部影响与资源配置失当、解决外部性问题的途径；科斯定理、公共物品的特点和最优数量、公共资源特点和公共地悲剧；不完全信息和不对称的基本概念、逆向选择和道德风险的概念。</w:t>
      </w:r>
    </w:p>
    <w:p>
      <w:pPr>
        <w:adjustRightInd w:val="0"/>
        <w:snapToGrid w:val="0"/>
        <w:spacing w:line="360" w:lineRule="auto"/>
        <w:ind w:firstLine="420"/>
        <w:rPr>
          <w:rFonts w:hint="eastAsia" w:ascii="宋体" w:hAnsi="宋体" w:cs="Arial"/>
          <w:szCs w:val="21"/>
        </w:rPr>
      </w:pPr>
      <w:r>
        <w:rPr>
          <w:rFonts w:hint="eastAsia" w:ascii="宋体" w:hAnsi="宋体" w:cs="Arial"/>
          <w:szCs w:val="21"/>
        </w:rPr>
        <w:t>（二）宏观经济学部分</w:t>
      </w:r>
      <w:r>
        <w:rPr>
          <w:rFonts w:ascii="宋体" w:hAnsi="宋体" w:cs="Arial"/>
          <w:szCs w:val="21"/>
        </w:rPr>
        <w:br w:type="textWrapping"/>
      </w:r>
      <w:r>
        <w:rPr>
          <w:rFonts w:ascii="宋体" w:hAnsi="宋体" w:cs="Arial"/>
          <w:szCs w:val="21"/>
        </w:rPr>
        <w:t>　　</w:t>
      </w:r>
      <w:r>
        <w:rPr>
          <w:rFonts w:hint="eastAsia" w:ascii="宋体" w:hAnsi="宋体" w:cs="Arial"/>
          <w:szCs w:val="21"/>
        </w:rPr>
        <w:t>1.宏观经济基本指标及其衡量</w:t>
      </w:r>
      <w:r>
        <w:rPr>
          <w:rFonts w:ascii="宋体" w:hAnsi="宋体" w:cs="Arial"/>
          <w:szCs w:val="21"/>
        </w:rPr>
        <w:br w:type="textWrapping"/>
      </w:r>
      <w:r>
        <w:rPr>
          <w:rFonts w:ascii="宋体" w:hAnsi="宋体" w:cs="Arial"/>
          <w:szCs w:val="21"/>
        </w:rPr>
        <w:t>　　</w:t>
      </w:r>
      <w:r>
        <w:rPr>
          <w:rFonts w:hint="eastAsia" w:ascii="宋体" w:hAnsi="宋体" w:cs="Arial"/>
          <w:szCs w:val="21"/>
        </w:rPr>
        <w:t>国内生产总值及其核算方法；国民收入各指标的关系及基本公式；名义GDP与实际GDP；对GDP的评价</w:t>
      </w:r>
    </w:p>
    <w:p>
      <w:pPr>
        <w:adjustRightInd w:val="0"/>
        <w:snapToGrid w:val="0"/>
        <w:spacing w:line="360" w:lineRule="auto"/>
        <w:ind w:firstLine="420"/>
        <w:rPr>
          <w:rFonts w:hint="eastAsia" w:ascii="宋体" w:hAnsi="宋体" w:cs="Arial"/>
          <w:szCs w:val="21"/>
        </w:rPr>
      </w:pPr>
      <w:r>
        <w:rPr>
          <w:rFonts w:hint="eastAsia" w:ascii="宋体" w:hAnsi="宋体" w:cs="Arial"/>
          <w:szCs w:val="21"/>
        </w:rPr>
        <w:t>2.国民收入的决定</w:t>
      </w:r>
    </w:p>
    <w:p>
      <w:pPr>
        <w:adjustRightInd w:val="0"/>
        <w:snapToGrid w:val="0"/>
        <w:spacing w:line="360" w:lineRule="auto"/>
        <w:ind w:firstLine="420"/>
        <w:rPr>
          <w:rFonts w:hint="eastAsia" w:ascii="宋体" w:hAnsi="宋体" w:cs="Arial"/>
          <w:szCs w:val="21"/>
        </w:rPr>
      </w:pPr>
      <w:r>
        <w:rPr>
          <w:rFonts w:hint="eastAsia" w:ascii="宋体" w:hAnsi="宋体" w:cs="Arial"/>
          <w:szCs w:val="21"/>
        </w:rPr>
        <w:t>消费与储蓄函数；二部门、三部门和四部门经济国民收入的决定及变动和乘数</w:t>
      </w:r>
    </w:p>
    <w:p>
      <w:pPr>
        <w:adjustRightInd w:val="0"/>
        <w:snapToGrid w:val="0"/>
        <w:spacing w:line="360" w:lineRule="auto"/>
        <w:ind w:firstLine="420"/>
        <w:rPr>
          <w:rFonts w:hint="eastAsia" w:ascii="宋体" w:hAnsi="宋体" w:cs="Arial"/>
          <w:szCs w:val="21"/>
        </w:rPr>
      </w:pPr>
      <w:r>
        <w:rPr>
          <w:rFonts w:hint="eastAsia" w:ascii="宋体" w:hAnsi="宋体" w:cs="Arial"/>
          <w:szCs w:val="21"/>
        </w:rPr>
        <w:t>3.IS-LM分析</w:t>
      </w:r>
    </w:p>
    <w:p>
      <w:pPr>
        <w:adjustRightInd w:val="0"/>
        <w:snapToGrid w:val="0"/>
        <w:spacing w:line="360" w:lineRule="auto"/>
        <w:ind w:firstLine="420"/>
        <w:rPr>
          <w:rFonts w:hint="eastAsia" w:ascii="宋体" w:hAnsi="宋体" w:cs="Arial"/>
          <w:szCs w:val="21"/>
        </w:rPr>
      </w:pPr>
      <w:r>
        <w:rPr>
          <w:rFonts w:hint="eastAsia" w:ascii="宋体" w:hAnsi="宋体" w:cs="Arial"/>
          <w:szCs w:val="21"/>
        </w:rPr>
        <w:t>投资的决定与IS曲线；货币需求、供给及利率的决定；LM曲线；IS-LM分析；凯恩斯基本理论框架</w:t>
      </w:r>
    </w:p>
    <w:p>
      <w:pPr>
        <w:adjustRightInd w:val="0"/>
        <w:snapToGrid w:val="0"/>
        <w:spacing w:line="360" w:lineRule="auto"/>
        <w:ind w:firstLine="420"/>
        <w:rPr>
          <w:rFonts w:hint="eastAsia" w:ascii="宋体" w:hAnsi="宋体" w:cs="Arial"/>
          <w:szCs w:val="21"/>
        </w:rPr>
      </w:pPr>
      <w:r>
        <w:rPr>
          <w:rFonts w:hint="eastAsia" w:ascii="宋体" w:hAnsi="宋体" w:cs="Arial"/>
          <w:szCs w:val="21"/>
        </w:rPr>
        <w:t>4.总需求-总供给模型</w:t>
      </w:r>
    </w:p>
    <w:p>
      <w:pPr>
        <w:adjustRightInd w:val="0"/>
        <w:snapToGrid w:val="0"/>
        <w:spacing w:line="360" w:lineRule="auto"/>
        <w:ind w:firstLine="420"/>
        <w:rPr>
          <w:rFonts w:hint="eastAsia" w:ascii="宋体" w:hAnsi="宋体" w:cs="Arial"/>
          <w:szCs w:val="21"/>
        </w:rPr>
      </w:pPr>
      <w:r>
        <w:rPr>
          <w:rFonts w:hint="eastAsia" w:ascii="宋体" w:hAnsi="宋体" w:cs="Arial"/>
          <w:szCs w:val="21"/>
        </w:rPr>
        <w:t>总需求曲线的形成与变化；总供给曲线的形成与变化；总需求-总供给分析：均衡及其变化</w:t>
      </w:r>
    </w:p>
    <w:p>
      <w:pPr>
        <w:adjustRightInd w:val="0"/>
        <w:snapToGrid w:val="0"/>
        <w:spacing w:line="360" w:lineRule="auto"/>
        <w:ind w:firstLine="420"/>
        <w:rPr>
          <w:rFonts w:hint="eastAsia" w:ascii="宋体" w:hAnsi="宋体" w:cs="Arial"/>
          <w:szCs w:val="21"/>
        </w:rPr>
      </w:pPr>
      <w:r>
        <w:rPr>
          <w:rFonts w:hint="eastAsia" w:ascii="宋体" w:hAnsi="宋体" w:cs="Arial"/>
          <w:szCs w:val="21"/>
        </w:rPr>
        <w:t>5.失业与通货膨胀</w:t>
      </w:r>
    </w:p>
    <w:p>
      <w:pPr>
        <w:adjustRightInd w:val="0"/>
        <w:snapToGrid w:val="0"/>
        <w:spacing w:line="360" w:lineRule="auto"/>
        <w:ind w:firstLine="420"/>
        <w:rPr>
          <w:rFonts w:ascii="宋体" w:hAnsi="宋体" w:cs="Arial"/>
          <w:szCs w:val="21"/>
        </w:rPr>
      </w:pPr>
      <w:r>
        <w:rPr>
          <w:rFonts w:hint="eastAsia" w:ascii="宋体" w:hAnsi="宋体" w:cs="Arial"/>
          <w:szCs w:val="21"/>
        </w:rPr>
        <w:t>失业和失业率的测度；失业的原因及其影响；物价水平的衡量；通货膨胀的描述、原因及其影响；失业与通胀的关系</w:t>
      </w:r>
    </w:p>
    <w:p>
      <w:pPr>
        <w:adjustRightInd w:val="0"/>
        <w:snapToGrid w:val="0"/>
        <w:spacing w:line="360" w:lineRule="auto"/>
        <w:ind w:firstLine="420"/>
        <w:rPr>
          <w:rFonts w:hint="eastAsia" w:ascii="宋体" w:hAnsi="宋体" w:cs="Arial"/>
          <w:szCs w:val="21"/>
        </w:rPr>
      </w:pPr>
    </w:p>
    <w:p>
      <w:pPr>
        <w:adjustRightInd w:val="0"/>
        <w:snapToGrid w:val="0"/>
        <w:spacing w:line="360" w:lineRule="auto"/>
        <w:ind w:firstLine="405"/>
        <w:rPr>
          <w:rFonts w:hint="eastAsia" w:ascii="宋体" w:hAnsi="宋体" w:cs="Arial"/>
          <w:szCs w:val="21"/>
        </w:rPr>
      </w:pPr>
      <w:r>
        <w:rPr>
          <w:rFonts w:ascii="宋体" w:hAnsi="宋体" w:cs="Arial"/>
          <w:bCs/>
          <w:szCs w:val="21"/>
        </w:rPr>
        <w:t>第</w:t>
      </w:r>
      <w:r>
        <w:rPr>
          <w:rFonts w:hint="eastAsia" w:ascii="宋体" w:hAnsi="宋体" w:cs="Arial"/>
          <w:bCs/>
          <w:szCs w:val="21"/>
        </w:rPr>
        <w:t>二</w:t>
      </w:r>
      <w:r>
        <w:rPr>
          <w:rFonts w:ascii="宋体" w:hAnsi="宋体" w:cs="Arial"/>
          <w:bCs/>
          <w:szCs w:val="21"/>
        </w:rPr>
        <w:t>部分《</w:t>
      </w:r>
      <w:r>
        <w:rPr>
          <w:rFonts w:hint="eastAsia" w:ascii="宋体" w:hAnsi="宋体" w:cs="Arial"/>
          <w:bCs/>
          <w:szCs w:val="21"/>
        </w:rPr>
        <w:t>金融学》</w:t>
      </w:r>
      <w:r>
        <w:rPr>
          <w:rFonts w:ascii="宋体" w:hAnsi="宋体" w:cs="Arial"/>
          <w:bCs/>
          <w:szCs w:val="21"/>
        </w:rPr>
        <w:br w:type="textWrapping"/>
      </w:r>
      <w:r>
        <w:rPr>
          <w:rFonts w:ascii="宋体" w:hAnsi="宋体" w:cs="Arial"/>
          <w:szCs w:val="21"/>
        </w:rPr>
        <w:t>　　</w:t>
      </w:r>
      <w:r>
        <w:rPr>
          <w:rFonts w:hint="eastAsia" w:ascii="宋体" w:hAnsi="宋体" w:cs="Arial"/>
          <w:szCs w:val="21"/>
        </w:rPr>
        <w:t>1.货币、信用与金融</w:t>
      </w:r>
      <w:r>
        <w:rPr>
          <w:rFonts w:ascii="宋体" w:hAnsi="宋体" w:cs="Arial"/>
          <w:szCs w:val="21"/>
        </w:rPr>
        <w:br w:type="textWrapping"/>
      </w:r>
      <w:r>
        <w:rPr>
          <w:rFonts w:ascii="宋体" w:hAnsi="宋体" w:cs="Arial"/>
          <w:szCs w:val="21"/>
        </w:rPr>
        <w:t>　　</w:t>
      </w:r>
      <w:r>
        <w:rPr>
          <w:rFonts w:hint="eastAsia" w:ascii="宋体" w:hAnsi="宋体" w:cs="Arial"/>
          <w:szCs w:val="21"/>
        </w:rPr>
        <w:t>货币与货币制度；信用、利息与信用形式；金融范畴；金融的功能。</w:t>
      </w:r>
      <w:r>
        <w:rPr>
          <w:rFonts w:ascii="宋体" w:hAnsi="宋体" w:cs="Arial"/>
          <w:szCs w:val="21"/>
        </w:rPr>
        <w:t xml:space="preserve"> </w:t>
      </w:r>
      <w:r>
        <w:rPr>
          <w:rFonts w:ascii="宋体" w:hAnsi="宋体" w:cs="Arial"/>
          <w:szCs w:val="21"/>
        </w:rPr>
        <w:br w:type="textWrapping"/>
      </w:r>
      <w:r>
        <w:rPr>
          <w:rFonts w:ascii="宋体" w:hAnsi="宋体" w:cs="Arial"/>
          <w:szCs w:val="21"/>
        </w:rPr>
        <w:t>　</w:t>
      </w:r>
      <w:r>
        <w:rPr>
          <w:rFonts w:hint="eastAsia" w:ascii="宋体" w:hAnsi="宋体" w:cs="Arial"/>
          <w:szCs w:val="21"/>
        </w:rPr>
        <w:t xml:space="preserve">  2.</w:t>
      </w:r>
      <w:r>
        <w:rPr>
          <w:rFonts w:hint="eastAsia"/>
        </w:rPr>
        <w:t xml:space="preserve"> 金融中介与</w:t>
      </w:r>
      <w:r>
        <w:rPr>
          <w:rFonts w:hint="eastAsia" w:ascii="宋体" w:hAnsi="宋体" w:cs="Arial"/>
          <w:szCs w:val="21"/>
        </w:rPr>
        <w:t>金融市场</w:t>
      </w:r>
    </w:p>
    <w:p>
      <w:pPr>
        <w:adjustRightInd w:val="0"/>
        <w:snapToGrid w:val="0"/>
        <w:spacing w:line="360" w:lineRule="auto"/>
        <w:ind w:firstLine="405"/>
        <w:rPr>
          <w:rFonts w:hint="eastAsia" w:ascii="宋体" w:hAnsi="宋体" w:cs="Arial"/>
          <w:szCs w:val="21"/>
        </w:rPr>
      </w:pPr>
      <w:r>
        <w:rPr>
          <w:rFonts w:hint="eastAsia" w:ascii="宋体" w:hAnsi="宋体" w:cs="Arial"/>
          <w:szCs w:val="21"/>
        </w:rPr>
        <w:t>金融中介体系；存款货币银行；中央银行；金融市场；资本市场；金融体系结构；金融基础设施。</w:t>
      </w:r>
    </w:p>
    <w:p>
      <w:pPr>
        <w:adjustRightInd w:val="0"/>
        <w:snapToGrid w:val="0"/>
        <w:spacing w:line="360" w:lineRule="auto"/>
        <w:ind w:left="399" w:leftChars="190"/>
        <w:rPr>
          <w:rFonts w:hint="eastAsia" w:ascii="宋体" w:hAnsi="宋体" w:cs="Arial"/>
          <w:szCs w:val="21"/>
        </w:rPr>
      </w:pPr>
      <w:r>
        <w:rPr>
          <w:rFonts w:hint="eastAsia" w:ascii="宋体" w:hAnsi="宋体" w:cs="Arial"/>
          <w:szCs w:val="21"/>
        </w:rPr>
        <w:t>3.</w:t>
      </w:r>
      <w:r>
        <w:rPr>
          <w:rFonts w:hint="eastAsia"/>
        </w:rPr>
        <w:t xml:space="preserve"> </w:t>
      </w:r>
      <w:r>
        <w:rPr>
          <w:rFonts w:hint="eastAsia" w:ascii="宋体" w:hAnsi="宋体" w:cs="Arial"/>
          <w:szCs w:val="21"/>
        </w:rPr>
        <w:t>货币均衡与宏观政策</w:t>
      </w:r>
    </w:p>
    <w:p>
      <w:pPr>
        <w:adjustRightInd w:val="0"/>
        <w:snapToGrid w:val="0"/>
        <w:spacing w:line="360" w:lineRule="auto"/>
        <w:ind w:firstLine="405"/>
        <w:rPr>
          <w:rFonts w:hint="eastAsia" w:ascii="宋体" w:hAnsi="宋体" w:cs="Arial"/>
          <w:szCs w:val="21"/>
        </w:rPr>
      </w:pPr>
      <w:r>
        <w:rPr>
          <w:rFonts w:hint="eastAsia" w:ascii="宋体" w:hAnsi="宋体" w:cs="Arial"/>
          <w:szCs w:val="21"/>
        </w:rPr>
        <w:t>利率决定理论；货币需求与货币供给；货币的创造机制；货币均衡与总供求；开放经济的均衡；外汇市场、国际金融体系；汇率决定理论；通货膨胀与通货紧缩；货币政策；货币政策与财政政策的配合。</w:t>
      </w:r>
    </w:p>
    <w:p>
      <w:pPr>
        <w:adjustRightInd w:val="0"/>
        <w:snapToGrid w:val="0"/>
        <w:spacing w:line="360" w:lineRule="auto"/>
        <w:ind w:firstLine="405"/>
        <w:rPr>
          <w:rFonts w:hint="eastAsia" w:ascii="宋体" w:hAnsi="宋体" w:cs="Arial"/>
          <w:szCs w:val="21"/>
        </w:rPr>
      </w:pPr>
      <w:r>
        <w:rPr>
          <w:rFonts w:hint="eastAsia" w:ascii="宋体" w:hAnsi="宋体" w:cs="Arial"/>
          <w:szCs w:val="21"/>
        </w:rPr>
        <w:t>4．金融运行的微观机制</w:t>
      </w:r>
    </w:p>
    <w:p>
      <w:pPr>
        <w:adjustRightInd w:val="0"/>
        <w:snapToGrid w:val="0"/>
        <w:spacing w:line="360" w:lineRule="auto"/>
        <w:ind w:firstLine="405"/>
        <w:rPr>
          <w:rFonts w:hint="eastAsia" w:ascii="宋体" w:hAnsi="宋体" w:cs="Arial"/>
          <w:szCs w:val="21"/>
        </w:rPr>
      </w:pPr>
      <w:r>
        <w:rPr>
          <w:rFonts w:hint="eastAsia" w:ascii="宋体" w:hAnsi="宋体" w:cs="Arial"/>
          <w:szCs w:val="21"/>
        </w:rPr>
        <w:t>利率的风险结构和期限结构；资产组合与资产定价；资本结构与公司治理。</w:t>
      </w:r>
    </w:p>
    <w:p>
      <w:pPr>
        <w:adjustRightInd w:val="0"/>
        <w:snapToGrid w:val="0"/>
        <w:spacing w:line="360" w:lineRule="auto"/>
        <w:ind w:firstLine="405"/>
        <w:rPr>
          <w:rFonts w:ascii="宋体" w:hAnsi="宋体" w:cs="Arial"/>
          <w:szCs w:val="21"/>
        </w:rPr>
      </w:pPr>
      <w:r>
        <w:rPr>
          <w:rFonts w:ascii="宋体" w:hAnsi="宋体" w:cs="Arial"/>
          <w:szCs w:val="21"/>
        </w:rPr>
        <w:t>5.</w:t>
      </w:r>
      <w:r>
        <w:rPr>
          <w:rFonts w:hint="eastAsia" w:ascii="宋体" w:hAnsi="宋体" w:cs="Arial"/>
          <w:szCs w:val="21"/>
        </w:rPr>
        <w:t>金融发展与稳定</w:t>
      </w:r>
    </w:p>
    <w:p>
      <w:pPr>
        <w:adjustRightInd w:val="0"/>
        <w:snapToGrid w:val="0"/>
        <w:spacing w:line="360" w:lineRule="auto"/>
        <w:ind w:firstLine="405"/>
        <w:rPr>
          <w:rFonts w:hint="eastAsia" w:ascii="宋体" w:hAnsi="宋体" w:cs="Arial"/>
          <w:szCs w:val="21"/>
        </w:rPr>
      </w:pPr>
      <w:r>
        <w:rPr>
          <w:rFonts w:hint="eastAsia" w:ascii="宋体" w:hAnsi="宋体" w:cs="Arial"/>
          <w:szCs w:val="21"/>
        </w:rPr>
        <w:t>金融发展与经济增长；金融脆弱性与金融危机；金融监管。</w:t>
      </w:r>
    </w:p>
    <w:p>
      <w:pPr>
        <w:adjustRightInd w:val="0"/>
        <w:snapToGrid w:val="0"/>
        <w:spacing w:line="360" w:lineRule="auto"/>
        <w:ind w:firstLine="405"/>
        <w:rPr>
          <w:rFonts w:hint="eastAsia" w:ascii="宋体" w:hAnsi="宋体" w:cs="Arial"/>
          <w:szCs w:val="21"/>
        </w:rPr>
      </w:pPr>
    </w:p>
    <w:p>
      <w:pPr>
        <w:adjustRightInd w:val="0"/>
        <w:snapToGrid w:val="0"/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四、参考教材或主要参考书：</w:t>
      </w:r>
    </w:p>
    <w:p>
      <w:pPr>
        <w:snapToGrid w:val="0"/>
        <w:spacing w:line="360" w:lineRule="auto"/>
        <w:rPr>
          <w:rFonts w:ascii="宋体" w:hAnsi="宋体" w:cs="宋体"/>
          <w:spacing w:val="-2"/>
          <w:szCs w:val="21"/>
        </w:rPr>
      </w:pPr>
      <w:r>
        <w:rPr>
          <w:rFonts w:hint="eastAsia" w:ascii="宋体" w:hAnsi="宋体" w:cs="宋体"/>
          <w:spacing w:val="-2"/>
          <w:szCs w:val="21"/>
        </w:rPr>
        <w:t>1、《西方经济学》（微观部分和宏观部分两册，第七版），</w:t>
      </w:r>
      <w:r>
        <w:rPr>
          <w:rFonts w:hint="eastAsia" w:ascii="宋体" w:hAnsi="宋体" w:cs="宋体"/>
          <w:szCs w:val="21"/>
        </w:rPr>
        <w:t>高鸿业主编</w:t>
      </w:r>
      <w:r>
        <w:rPr>
          <w:rFonts w:hint="eastAsia" w:ascii="宋体" w:hAnsi="宋体" w:cs="宋体"/>
          <w:spacing w:val="-2"/>
          <w:szCs w:val="21"/>
        </w:rPr>
        <w:t>，中国人民大学出版社，20</w:t>
      </w:r>
      <w:r>
        <w:rPr>
          <w:rFonts w:ascii="宋体" w:hAnsi="宋体" w:cs="宋体"/>
          <w:spacing w:val="-2"/>
          <w:szCs w:val="21"/>
        </w:rPr>
        <w:t>20</w:t>
      </w:r>
      <w:r>
        <w:rPr>
          <w:rFonts w:hint="eastAsia" w:ascii="宋体" w:hAnsi="宋体" w:cs="宋体"/>
          <w:spacing w:val="-2"/>
          <w:szCs w:val="21"/>
        </w:rPr>
        <w:t>.</w:t>
      </w:r>
    </w:p>
    <w:p>
      <w:pPr>
        <w:snapToGrid w:val="0"/>
        <w:spacing w:line="360" w:lineRule="auto"/>
        <w:rPr>
          <w:rFonts w:hint="eastAsia" w:ascii="宋体" w:hAnsi="宋体" w:cs="宋体"/>
          <w:spacing w:val="-2"/>
          <w:szCs w:val="21"/>
        </w:rPr>
      </w:pPr>
      <w:r>
        <w:rPr>
          <w:rFonts w:ascii="宋体" w:hAnsi="宋体" w:cs="宋体"/>
          <w:spacing w:val="-2"/>
          <w:szCs w:val="21"/>
        </w:rPr>
        <w:t>2</w:t>
      </w:r>
      <w:r>
        <w:rPr>
          <w:rFonts w:hint="eastAsia" w:ascii="宋体" w:hAnsi="宋体" w:cs="宋体"/>
          <w:spacing w:val="-2"/>
          <w:szCs w:val="21"/>
        </w:rPr>
        <w:t>、《金融学》（第五版），黄达、张杰编著，中国人民大学出版社，20</w:t>
      </w:r>
      <w:r>
        <w:rPr>
          <w:rFonts w:ascii="宋体" w:hAnsi="宋体" w:cs="宋体"/>
          <w:spacing w:val="-2"/>
          <w:szCs w:val="21"/>
        </w:rPr>
        <w:t>20</w:t>
      </w:r>
      <w:r>
        <w:rPr>
          <w:rFonts w:hint="eastAsia" w:ascii="宋体" w:hAnsi="宋体" w:cs="宋体"/>
          <w:spacing w:val="-2"/>
          <w:szCs w:val="21"/>
        </w:rPr>
        <w:t>.</w:t>
      </w:r>
    </w:p>
    <w:p>
      <w:pPr>
        <w:spacing w:before="31" w:beforeLines="10" w:after="31" w:afterLines="10" w:line="360" w:lineRule="auto"/>
        <w:ind w:left="420" w:leftChars="200" w:firstLine="420"/>
        <w:rPr>
          <w:rFonts w:hint="eastAsia"/>
          <w:szCs w:val="21"/>
        </w:rPr>
      </w:pPr>
    </w:p>
    <w:sectPr>
      <w:headerReference r:id="rId3" w:type="default"/>
      <w:footerReference r:id="rId4" w:type="default"/>
      <w:footerReference r:id="rId5" w:type="even"/>
      <w:pgSz w:w="11164" w:h="15485"/>
      <w:pgMar w:top="1361" w:right="1361" w:bottom="1247" w:left="1361" w:header="851" w:footer="85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/>
        <w:sz w:val="21"/>
        <w:szCs w:val="21"/>
      </w:rPr>
    </w:pPr>
    <w:r>
      <w:rPr>
        <w:rFonts w:hint="eastAsia"/>
        <w:sz w:val="21"/>
        <w:szCs w:val="21"/>
      </w:rPr>
      <w:t>第</w:t>
    </w:r>
    <w:r>
      <w:rPr>
        <w:sz w:val="21"/>
        <w:szCs w:val="21"/>
      </w:rPr>
      <w:fldChar w:fldCharType="begin"/>
    </w:r>
    <w:r>
      <w:rPr>
        <w:rStyle w:val="8"/>
        <w:sz w:val="21"/>
        <w:szCs w:val="21"/>
      </w:rPr>
      <w:instrText xml:space="preserve"> PAGE </w:instrText>
    </w:r>
    <w:r>
      <w:rPr>
        <w:sz w:val="21"/>
        <w:szCs w:val="21"/>
      </w:rPr>
      <w:fldChar w:fldCharType="separate"/>
    </w:r>
    <w:r>
      <w:rPr>
        <w:rStyle w:val="8"/>
        <w:sz w:val="21"/>
        <w:szCs w:val="21"/>
        <w:lang/>
      </w:rPr>
      <w:t>4</w:t>
    </w:r>
    <w:r>
      <w:rPr>
        <w:sz w:val="21"/>
        <w:szCs w:val="21"/>
      </w:rPr>
      <w:fldChar w:fldCharType="end"/>
    </w:r>
    <w:r>
      <w:rPr>
        <w:rFonts w:hint="eastAsia"/>
        <w:sz w:val="21"/>
        <w:szCs w:val="21"/>
      </w:rPr>
      <w:t>页，共</w:t>
    </w:r>
    <w:r>
      <w:rPr>
        <w:sz w:val="21"/>
        <w:szCs w:val="21"/>
      </w:rPr>
      <w:fldChar w:fldCharType="begin"/>
    </w:r>
    <w:r>
      <w:rPr>
        <w:rStyle w:val="8"/>
        <w:sz w:val="21"/>
        <w:szCs w:val="21"/>
      </w:rPr>
      <w:instrText xml:space="preserve"> NUMPAGES </w:instrText>
    </w:r>
    <w:r>
      <w:rPr>
        <w:sz w:val="21"/>
        <w:szCs w:val="21"/>
      </w:rPr>
      <w:fldChar w:fldCharType="separate"/>
    </w:r>
    <w:r>
      <w:rPr>
        <w:rStyle w:val="8"/>
        <w:sz w:val="21"/>
        <w:szCs w:val="21"/>
        <w:lang/>
      </w:rPr>
      <w:t>4</w:t>
    </w:r>
    <w:r>
      <w:rPr>
        <w:sz w:val="21"/>
        <w:szCs w:val="21"/>
      </w:rPr>
      <w:fldChar w:fldCharType="end"/>
    </w:r>
    <w:r>
      <w:rPr>
        <w:rFonts w:hint="eastAsia"/>
        <w:sz w:val="21"/>
        <w:szCs w:val="21"/>
      </w:rPr>
      <w:t>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7FBF9"/>
    <w:multiLevelType w:val="singleLevel"/>
    <w:tmpl w:val="5907FBF9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907FC4F"/>
    <w:multiLevelType w:val="singleLevel"/>
    <w:tmpl w:val="5907FC4F"/>
    <w:lvl w:ilvl="0" w:tentative="0">
      <w:start w:val="1"/>
      <w:numFmt w:val="chineseCounting"/>
      <w:suff w:val="nothing"/>
      <w:lvlText w:val="（%1）"/>
      <w:lvlJc w:val="left"/>
    </w:lvl>
  </w:abstractNum>
  <w:abstractNum w:abstractNumId="2">
    <w:nsid w:val="5907FE2A"/>
    <w:multiLevelType w:val="singleLevel"/>
    <w:tmpl w:val="5907FE2A"/>
    <w:lvl w:ilvl="0" w:tentative="0">
      <w:start w:val="3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5A5"/>
    <w:rsid w:val="00030009"/>
    <w:rsid w:val="00033309"/>
    <w:rsid w:val="0005050F"/>
    <w:rsid w:val="00054E01"/>
    <w:rsid w:val="00061B4F"/>
    <w:rsid w:val="000762FE"/>
    <w:rsid w:val="00080730"/>
    <w:rsid w:val="0008607A"/>
    <w:rsid w:val="00097EDA"/>
    <w:rsid w:val="000A369D"/>
    <w:rsid w:val="000C25FD"/>
    <w:rsid w:val="000C275E"/>
    <w:rsid w:val="000E6981"/>
    <w:rsid w:val="00125B46"/>
    <w:rsid w:val="0014046C"/>
    <w:rsid w:val="001640BE"/>
    <w:rsid w:val="001848FB"/>
    <w:rsid w:val="0019067F"/>
    <w:rsid w:val="00197215"/>
    <w:rsid w:val="001B1D70"/>
    <w:rsid w:val="001C165A"/>
    <w:rsid w:val="001C2F19"/>
    <w:rsid w:val="001E149A"/>
    <w:rsid w:val="00203685"/>
    <w:rsid w:val="0020731D"/>
    <w:rsid w:val="0023282D"/>
    <w:rsid w:val="0024344A"/>
    <w:rsid w:val="00285CFC"/>
    <w:rsid w:val="00290EB9"/>
    <w:rsid w:val="002A5C7C"/>
    <w:rsid w:val="002C7F6A"/>
    <w:rsid w:val="002E0158"/>
    <w:rsid w:val="002F24AB"/>
    <w:rsid w:val="00311038"/>
    <w:rsid w:val="0033096F"/>
    <w:rsid w:val="00346F41"/>
    <w:rsid w:val="00360F33"/>
    <w:rsid w:val="003704C9"/>
    <w:rsid w:val="00375432"/>
    <w:rsid w:val="003852C3"/>
    <w:rsid w:val="003A4FD9"/>
    <w:rsid w:val="003B48F8"/>
    <w:rsid w:val="003C498A"/>
    <w:rsid w:val="003C79F9"/>
    <w:rsid w:val="003E6790"/>
    <w:rsid w:val="003F61C3"/>
    <w:rsid w:val="00425B68"/>
    <w:rsid w:val="00443036"/>
    <w:rsid w:val="00444F40"/>
    <w:rsid w:val="004523EF"/>
    <w:rsid w:val="00477338"/>
    <w:rsid w:val="004A72D7"/>
    <w:rsid w:val="004B65A5"/>
    <w:rsid w:val="004D42EC"/>
    <w:rsid w:val="004D434E"/>
    <w:rsid w:val="004F1816"/>
    <w:rsid w:val="00507097"/>
    <w:rsid w:val="00521CC0"/>
    <w:rsid w:val="00535C1D"/>
    <w:rsid w:val="005743BB"/>
    <w:rsid w:val="00581E66"/>
    <w:rsid w:val="00597CBE"/>
    <w:rsid w:val="005A796B"/>
    <w:rsid w:val="005B21BB"/>
    <w:rsid w:val="005D4197"/>
    <w:rsid w:val="005E2211"/>
    <w:rsid w:val="005F4311"/>
    <w:rsid w:val="00622067"/>
    <w:rsid w:val="00653662"/>
    <w:rsid w:val="00696C06"/>
    <w:rsid w:val="006A0697"/>
    <w:rsid w:val="006E0495"/>
    <w:rsid w:val="006F55A0"/>
    <w:rsid w:val="006F7BB8"/>
    <w:rsid w:val="006F7EB7"/>
    <w:rsid w:val="00716C9A"/>
    <w:rsid w:val="0072114F"/>
    <w:rsid w:val="00741BA4"/>
    <w:rsid w:val="0074606C"/>
    <w:rsid w:val="00774503"/>
    <w:rsid w:val="00786EAA"/>
    <w:rsid w:val="007905B1"/>
    <w:rsid w:val="007D6FDB"/>
    <w:rsid w:val="007E298C"/>
    <w:rsid w:val="007F439E"/>
    <w:rsid w:val="007F4C05"/>
    <w:rsid w:val="007F6F90"/>
    <w:rsid w:val="008029BE"/>
    <w:rsid w:val="00830FF2"/>
    <w:rsid w:val="008342E2"/>
    <w:rsid w:val="00864E9F"/>
    <w:rsid w:val="00871A8E"/>
    <w:rsid w:val="0087510B"/>
    <w:rsid w:val="008921C1"/>
    <w:rsid w:val="00893B85"/>
    <w:rsid w:val="008A1AA2"/>
    <w:rsid w:val="008C0E5E"/>
    <w:rsid w:val="00931DA9"/>
    <w:rsid w:val="00971C90"/>
    <w:rsid w:val="00983136"/>
    <w:rsid w:val="00991A5E"/>
    <w:rsid w:val="009A6931"/>
    <w:rsid w:val="009B1E7E"/>
    <w:rsid w:val="00A26EEB"/>
    <w:rsid w:val="00A605E9"/>
    <w:rsid w:val="00A63AC6"/>
    <w:rsid w:val="00A8099C"/>
    <w:rsid w:val="00A96843"/>
    <w:rsid w:val="00AB2D7C"/>
    <w:rsid w:val="00AB4A62"/>
    <w:rsid w:val="00AC3832"/>
    <w:rsid w:val="00AC5F7A"/>
    <w:rsid w:val="00AD73EE"/>
    <w:rsid w:val="00B06A75"/>
    <w:rsid w:val="00B10A84"/>
    <w:rsid w:val="00B53FB4"/>
    <w:rsid w:val="00B54A9F"/>
    <w:rsid w:val="00B7366D"/>
    <w:rsid w:val="00B84AB9"/>
    <w:rsid w:val="00B931C3"/>
    <w:rsid w:val="00BB4285"/>
    <w:rsid w:val="00BB42AE"/>
    <w:rsid w:val="00BD180C"/>
    <w:rsid w:val="00BE2F94"/>
    <w:rsid w:val="00C176BC"/>
    <w:rsid w:val="00C404D4"/>
    <w:rsid w:val="00C422F3"/>
    <w:rsid w:val="00C5668E"/>
    <w:rsid w:val="00C65797"/>
    <w:rsid w:val="00C7337E"/>
    <w:rsid w:val="00C76400"/>
    <w:rsid w:val="00C97A90"/>
    <w:rsid w:val="00CB135C"/>
    <w:rsid w:val="00CE1668"/>
    <w:rsid w:val="00CE5A3F"/>
    <w:rsid w:val="00CF501E"/>
    <w:rsid w:val="00D029C7"/>
    <w:rsid w:val="00D36237"/>
    <w:rsid w:val="00D45D43"/>
    <w:rsid w:val="00D55A6B"/>
    <w:rsid w:val="00D60C8A"/>
    <w:rsid w:val="00D76B44"/>
    <w:rsid w:val="00D82DC4"/>
    <w:rsid w:val="00D94FF9"/>
    <w:rsid w:val="00DB3660"/>
    <w:rsid w:val="00DD7E22"/>
    <w:rsid w:val="00DE2F8D"/>
    <w:rsid w:val="00E01482"/>
    <w:rsid w:val="00E1145D"/>
    <w:rsid w:val="00E31480"/>
    <w:rsid w:val="00E31B15"/>
    <w:rsid w:val="00E6651A"/>
    <w:rsid w:val="00E71703"/>
    <w:rsid w:val="00E8034E"/>
    <w:rsid w:val="00E81784"/>
    <w:rsid w:val="00EC054E"/>
    <w:rsid w:val="00EC6FF8"/>
    <w:rsid w:val="00EE1362"/>
    <w:rsid w:val="00EE2532"/>
    <w:rsid w:val="00EE3A0D"/>
    <w:rsid w:val="00EF1CE7"/>
    <w:rsid w:val="00F20B11"/>
    <w:rsid w:val="00F26E36"/>
    <w:rsid w:val="00F37904"/>
    <w:rsid w:val="00F70D0A"/>
    <w:rsid w:val="00F9484E"/>
    <w:rsid w:val="00FB4EC3"/>
    <w:rsid w:val="00FE57C0"/>
    <w:rsid w:val="00FE5C11"/>
    <w:rsid w:val="00FE73E9"/>
    <w:rsid w:val="00FF7F73"/>
    <w:rsid w:val="081D6CD9"/>
    <w:rsid w:val="0E3513AA"/>
    <w:rsid w:val="2209174A"/>
    <w:rsid w:val="27DF24C3"/>
    <w:rsid w:val="285A2DD6"/>
    <w:rsid w:val="2BA31F0C"/>
    <w:rsid w:val="2E5C00AA"/>
    <w:rsid w:val="39054CF9"/>
    <w:rsid w:val="3C954236"/>
    <w:rsid w:val="40C9363E"/>
    <w:rsid w:val="43E96A5E"/>
    <w:rsid w:val="491E1569"/>
    <w:rsid w:val="4E0A3C16"/>
    <w:rsid w:val="52BB2CAF"/>
    <w:rsid w:val="63D248BA"/>
    <w:rsid w:val="6DD56026"/>
    <w:rsid w:val="71CD35B0"/>
    <w:rsid w:val="7949045E"/>
    <w:rsid w:val="7B14286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rPr>
      <w:lang w:val="en-US" w:eastAsia="zh-CN" w:bidi="ar-SA"/>
    </w:rPr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uiPriority w:val="0"/>
  </w:style>
  <w:style w:type="paragraph" w:styleId="9">
    <w:name w:val="List Paragraph"/>
    <w:basedOn w:val="1"/>
    <w:qFormat/>
    <w:uiPriority w:val="0"/>
    <w:pPr>
      <w:ind w:firstLine="420" w:firstLineChars="200"/>
    </w:pPr>
  </w:style>
  <w:style w:type="paragraph" w:customStyle="1" w:styleId="10">
    <w:name w:val="_Style 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jh</Company>
  <Pages>4</Pages>
  <Words>342</Words>
  <Characters>1953</Characters>
  <Lines>16</Lines>
  <Paragraphs>4</Paragraphs>
  <TotalTime>0</TotalTime>
  <ScaleCrop>false</ScaleCrop>
  <LinksUpToDate>false</LinksUpToDate>
  <CharactersWithSpaces>2291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2019-08-18T07:34:00Z</dcterms:created>
  <dc:creator>jh</dc:creator>
  <cp:lastModifiedBy>Administrator</cp:lastModifiedBy>
  <cp:lastPrinted>2017-06-01T04:59:00Z</cp:lastPrinted>
  <dcterms:modified xsi:type="dcterms:W3CDTF">2021-09-15T05:04:19Z</dcterms:modified>
  <dc:title>浙江师范大学2009年硕士研究生入学考试复试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