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材料科学与工程学院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u w:val="single"/>
        </w:rPr>
        <w:t>材料科学与工程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Cs/>
          <w:szCs w:val="21"/>
          <w:u w:val="single"/>
        </w:rPr>
        <w:t xml:space="preserve">    综合考试(</w:t>
      </w:r>
      <w:r>
        <w:rPr>
          <w:rFonts w:hint="eastAsia"/>
          <w:bCs/>
          <w:color w:val="000000"/>
          <w:szCs w:val="21"/>
          <w:u w:val="single"/>
        </w:rPr>
        <w:t>无机化学+有机化学)</w:t>
      </w:r>
      <w:r>
        <w:rPr>
          <w:rFonts w:hint="eastAsia"/>
          <w:bCs/>
          <w:szCs w:val="21"/>
          <w:u w:val="single"/>
        </w:rPr>
        <w:t xml:space="preserve">   </w:t>
      </w:r>
      <w:r>
        <w:rPr>
          <w:rFonts w:hint="eastAsia"/>
          <w:bCs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12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12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12" w:lineRule="auto"/>
        <w:ind w:firstLine="0" w:firstLineChars="0"/>
        <w:rPr>
          <w:rFonts w:ascii="新宋体" w:hAnsi="新宋体" w:eastAsia="新宋体"/>
          <w:color w:val="FF0000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12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12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12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无机化学考试内容主要包括化学反应的基础理论(25%)、物质的形态与结构(15%)及元素性质(主要是过渡元素的性质)部分(10%)。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宋体" w:hAnsi="宋体" w:cs="Arial"/>
          <w:szCs w:val="21"/>
        </w:rPr>
        <w:t xml:space="preserve"> 有机化学考试内容主要包括</w:t>
      </w:r>
      <w:r>
        <w:rPr>
          <w:rFonts w:hAnsi="宋体"/>
          <w:szCs w:val="21"/>
        </w:rPr>
        <w:t>有机化学的基本概念、基本规律、基本反应</w:t>
      </w:r>
      <w:r>
        <w:rPr>
          <w:rFonts w:hint="eastAsia" w:hAnsi="宋体"/>
          <w:szCs w:val="21"/>
        </w:rPr>
        <w:t>（25%）</w:t>
      </w:r>
      <w:r>
        <w:rPr>
          <w:rFonts w:hint="eastAsia" w:ascii="宋体" w:hAnsi="宋体" w:cs="Arial"/>
          <w:szCs w:val="21"/>
        </w:rPr>
        <w:t>、</w:t>
      </w:r>
      <w:r>
        <w:rPr>
          <w:rFonts w:hAnsi="宋体"/>
          <w:szCs w:val="21"/>
        </w:rPr>
        <w:t>结构和性质的关系</w:t>
      </w:r>
      <w:r>
        <w:rPr>
          <w:rFonts w:hint="eastAsia" w:hAnsi="宋体"/>
          <w:szCs w:val="21"/>
        </w:rPr>
        <w:t>（10%）</w:t>
      </w:r>
      <w:r>
        <w:rPr>
          <w:rFonts w:hint="eastAsia" w:ascii="宋体" w:hAnsi="宋体" w:cs="Arial"/>
          <w:szCs w:val="21"/>
        </w:rPr>
        <w:t>、</w:t>
      </w:r>
      <w:r>
        <w:rPr>
          <w:rFonts w:hAnsi="宋体"/>
          <w:szCs w:val="21"/>
        </w:rPr>
        <w:t>各类有机化合物的相互转化及其规律</w:t>
      </w:r>
      <w:r>
        <w:rPr>
          <w:rFonts w:hint="eastAsia" w:hAnsi="宋体"/>
          <w:szCs w:val="21"/>
        </w:rPr>
        <w:t>（15%）。</w:t>
      </w:r>
    </w:p>
    <w:p>
      <w:pPr>
        <w:pStyle w:val="10"/>
        <w:spacing w:before="31" w:beforeLines="10" w:after="31" w:afterLines="10" w:line="312" w:lineRule="auto"/>
        <w:ind w:firstLine="422"/>
        <w:rPr>
          <w:rFonts w:hint="eastAsia" w:ascii="新宋体" w:hAnsi="新宋体" w:eastAsia="新宋体"/>
          <w:b/>
          <w:szCs w:val="21"/>
        </w:rPr>
      </w:pPr>
    </w:p>
    <w:p>
      <w:pPr>
        <w:pStyle w:val="10"/>
        <w:spacing w:before="31" w:beforeLines="10" w:after="31" w:afterLines="10" w:line="312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1.选择题（50分），共25道；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2.填空题（30分），共6-8道；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3.简答题（30分），共5道；</w:t>
      </w:r>
    </w:p>
    <w:p>
      <w:pPr>
        <w:spacing w:line="312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4.计算题或合成题（40分），共3道。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12" w:lineRule="auto"/>
        <w:ind w:firstLine="420" w:firstLineChars="200"/>
        <w:rPr>
          <w:rFonts w:hint="eastAsia" w:hAnsi="宋体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hAnsi="宋体"/>
          <w:szCs w:val="21"/>
        </w:rPr>
        <w:t>全面系统地</w:t>
      </w:r>
      <w:r>
        <w:rPr>
          <w:rFonts w:hint="eastAsia" w:hAnsi="宋体"/>
          <w:szCs w:val="21"/>
        </w:rPr>
        <w:t>测试考生对</w:t>
      </w:r>
      <w:r>
        <w:rPr>
          <w:rFonts w:hAnsi="宋体"/>
          <w:szCs w:val="21"/>
        </w:rPr>
        <w:t>无机化学的基本概念、基本理论、基本计算</w:t>
      </w:r>
      <w:r>
        <w:rPr>
          <w:rFonts w:hint="eastAsia" w:hAnsi="宋体"/>
          <w:szCs w:val="21"/>
        </w:rPr>
        <w:t>掌握情况及应用知识</w:t>
      </w:r>
      <w:r>
        <w:rPr>
          <w:rFonts w:hAnsi="宋体"/>
          <w:szCs w:val="21"/>
        </w:rPr>
        <w:t>分析问题和解决问题的能力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测试学生对有机化学各项内容的掌握程度。要求学生对有机化学内容应有比较系统和全面的了解，认识有机物结构和性质的关系，熟悉各类有机化合物的相互转化及其规律，掌握有机化学的基本概念、基本规律、基本反应及其应用。具有综合运用所学知识分析问题及解决问题的能力</w:t>
      </w:r>
      <w:r>
        <w:rPr>
          <w:rFonts w:hint="eastAsia" w:hAnsi="宋体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before="31" w:beforeLines="10" w:after="31" w:afterLines="10"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ascii="宋体" w:hAnsi="宋体" w:cs="宋体"/>
          <w:b/>
          <w:sz w:val="24"/>
        </w:rPr>
        <w:t>(一)无机化学主要内容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  </w:t>
      </w:r>
      <w:r>
        <w:rPr>
          <w:rFonts w:hAnsi="宋体"/>
          <w:szCs w:val="21"/>
        </w:rPr>
        <w:t>1．物质的状态：理想气体状态方程，气体分压定律和分体积定律，气体分子运动论，液体的蒸气压、沸点和凝固点，溶液浓度的表示方法，稀溶液的依数性。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2．化学反应中的能量关系：热力学中常用的术语（体系，环境，状态，状态函数，过程），热力学第一定律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化学反应中的焓变</w:t>
      </w:r>
      <w:r>
        <w:rPr>
          <w:rFonts w:hint="eastAsia" w:hAnsi="宋体"/>
          <w:szCs w:val="21"/>
        </w:rPr>
        <w:t>(</w:t>
      </w:r>
      <w:r>
        <w:rPr>
          <w:rFonts w:hAnsi="宋体"/>
          <w:szCs w:val="21"/>
        </w:rPr>
        <w:t>ΔH</w:t>
      </w:r>
      <w:r>
        <w:rPr>
          <w:rFonts w:hint="eastAsia" w:hAnsi="宋体"/>
          <w:szCs w:val="21"/>
        </w:rPr>
        <w:t>)</w:t>
      </w:r>
      <w:r>
        <w:rPr>
          <w:rFonts w:hAnsi="宋体"/>
          <w:szCs w:val="21"/>
        </w:rPr>
        <w:t>，化学反应的热效应，热化学方程式，标准摩尔反应焓变（Δ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），标准摩尔生成焓（Δ</w:t>
      </w:r>
      <w:r>
        <w:rPr>
          <w:rFonts w:hAnsi="宋体"/>
          <w:szCs w:val="21"/>
          <w:vertAlign w:val="subscript"/>
        </w:rPr>
        <w:t>f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），标准摩尔燃烧焓（Δ</w:t>
      </w:r>
      <w:r>
        <w:rPr>
          <w:rFonts w:hAnsi="宋体"/>
          <w:szCs w:val="21"/>
          <w:vertAlign w:val="subscript"/>
        </w:rPr>
        <w:t>c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盖斯定律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焓变与反应的自发性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吉布斯自由能（G），标准摩尔反应吉布斯自由能变（Δ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G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），标准摩尔反应生成吉布斯能（Δ</w:t>
      </w:r>
      <w:r>
        <w:rPr>
          <w:rFonts w:hAnsi="宋体"/>
          <w:szCs w:val="21"/>
          <w:vertAlign w:val="subscript"/>
        </w:rPr>
        <w:t>f</w:t>
      </w:r>
      <w:r>
        <w:rPr>
          <w:rFonts w:hAnsi="宋体"/>
          <w:szCs w:val="21"/>
        </w:rPr>
        <w:t>G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熵（S）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标准摩尔熵（S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），化学反应标准摩尔熵变（Δ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S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G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与Δ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和Δ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S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的关系，化学反应方向的判断。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</w:t>
      </w:r>
      <w:r>
        <w:rPr>
          <w:rFonts w:hAnsi="宋体"/>
          <w:szCs w:val="21"/>
        </w:rPr>
        <w:t>3．化学反应速率和化学平衡：化学反应速率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影响化学反应速率的因素（浓度、温度、催化剂）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基元反应，质量作用定律，反应速率方程，反应级数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阿伦尼乌斯方程式，碰撞理论，活化能，活化分子，过渡态理论，活化能与反应速率的关系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平衡常数（实验平衡常数，标准平衡常数（K</w:t>
      </w:r>
      <w:r>
        <w:rPr>
          <w:rFonts w:hAnsi="宋体"/>
          <w:szCs w:val="21"/>
          <w:vertAlign w:val="superscript"/>
        </w:rPr>
        <w:t>Ө）</w:t>
      </w:r>
      <w:r>
        <w:rPr>
          <w:rFonts w:hAnsi="宋体"/>
          <w:szCs w:val="21"/>
        </w:rPr>
        <w:t>），多重平衡规则，K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与Δ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G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的关系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浓度、压力、温度对化学平衡的影响，催化剂与化学平衡，平衡移动总规律。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</w:t>
      </w:r>
      <w:r>
        <w:rPr>
          <w:rFonts w:hAnsi="宋体"/>
          <w:szCs w:val="21"/>
        </w:rPr>
        <w:t>4．电解质溶液和离子平衡：阿伦尼乌斯解离理论，离子氛，活度，活度系数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弱酸、弱碱的解离平衡</w:t>
      </w:r>
      <w:r>
        <w:rPr>
          <w:rFonts w:hint="eastAsia" w:hAnsi="宋体"/>
          <w:szCs w:val="21"/>
        </w:rPr>
        <w:t>，解离常数，</w:t>
      </w:r>
      <w:r>
        <w:rPr>
          <w:rFonts w:hAnsi="宋体"/>
          <w:szCs w:val="21"/>
        </w:rPr>
        <w:t>同离子效应，盐效应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pH值计算，缓冲作用原理，缓冲溶液pH值计算，缓冲物质选择及缓冲溶液配制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盐类水解反应，水解常数，影响盐类水解反应的因素（浓度，温度，酸度）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近代酸碱理论（水–离子理论，溶剂理论，质子和电子理论）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浓度积常数（K</w:t>
      </w:r>
      <w:r>
        <w:rPr>
          <w:rFonts w:hAnsi="宋体"/>
          <w:szCs w:val="21"/>
          <w:vertAlign w:val="subscript"/>
        </w:rPr>
        <w:t>sp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），溶度积与溶解度的关系，溶度积规则，沉淀的生成和溶解（生成弱电解质，氧化还原反应等方法），同离子效应，盐效应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分步沉淀，分步沉淀的次序，沉淀转化。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5．原子结构和元素周期系：微观粒子的波粒二象性，波函数，概率密度，电子云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原子轨道和电子云的图象，鲍林近似能级图，屏蔽效应，Cotton原子轨道能级图，电子填充顺序，核外电子排布原则（能量最低原理，泡利不相容原理，洪特规则），核外电子排布的表示方式（电子排布式，轨道图，</w:t>
      </w:r>
      <w:r>
        <w:rPr>
          <w:rFonts w:hint="eastAsia" w:hAnsi="宋体"/>
          <w:szCs w:val="21"/>
        </w:rPr>
        <w:t>四个</w:t>
      </w:r>
      <w:r>
        <w:rPr>
          <w:rFonts w:hAnsi="宋体"/>
          <w:szCs w:val="21"/>
        </w:rPr>
        <w:t>量子数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表示</w:t>
      </w:r>
      <w:r>
        <w:rPr>
          <w:rFonts w:hint="eastAsia" w:hAnsi="宋体"/>
          <w:szCs w:val="21"/>
        </w:rPr>
        <w:t>方</w:t>
      </w:r>
      <w:r>
        <w:rPr>
          <w:rFonts w:hAnsi="宋体"/>
          <w:szCs w:val="21"/>
        </w:rPr>
        <w:t>法）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周期表中各元素的电子层结构，原子的电子层结构与元素周期系的关系，周期表</w:t>
      </w:r>
      <w:r>
        <w:rPr>
          <w:rFonts w:hint="eastAsia" w:hAnsi="宋体"/>
          <w:szCs w:val="21"/>
        </w:rPr>
        <w:t>中</w:t>
      </w:r>
      <w:r>
        <w:rPr>
          <w:rFonts w:hAnsi="宋体"/>
          <w:szCs w:val="21"/>
        </w:rPr>
        <w:t>5个区</w:t>
      </w:r>
      <w:r>
        <w:rPr>
          <w:rFonts w:hint="eastAsia" w:hAnsi="宋体"/>
          <w:szCs w:val="21"/>
        </w:rPr>
        <w:t>的划分。</w:t>
      </w:r>
      <w:r>
        <w:rPr>
          <w:rFonts w:hAnsi="宋体"/>
          <w:szCs w:val="21"/>
        </w:rPr>
        <w:t>有效电荷、原子半径、电离能、电子亲和能及电负性的周期性变化。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</w:t>
      </w:r>
      <w:r>
        <w:rPr>
          <w:rFonts w:hAnsi="宋体"/>
          <w:szCs w:val="21"/>
        </w:rPr>
        <w:t>6．分子结构：共价键的本质、特征（饱和性，方向性）、</w:t>
      </w:r>
      <w:r>
        <w:rPr>
          <w:rFonts w:hint="eastAsia" w:hAnsi="宋体"/>
          <w:szCs w:val="21"/>
        </w:rPr>
        <w:t>类型</w:t>
      </w:r>
      <w:r>
        <w:rPr>
          <w:rFonts w:hAnsi="宋体"/>
          <w:szCs w:val="21"/>
        </w:rPr>
        <w:t>（σ、π键）、键参数（键长，键角，键能）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杂化轨道理论要点，s和p原子轨道的三种杂化方式，等性和不等性杂化轨道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分子轨道理论要点，分子轨道的形成，同核双原子分子轨道能级图</w:t>
      </w:r>
      <w:r>
        <w:rPr>
          <w:rFonts w:hint="eastAsia" w:hAnsi="宋体"/>
          <w:szCs w:val="21"/>
        </w:rPr>
        <w:t>，键级、键类型。</w:t>
      </w:r>
      <w:r>
        <w:rPr>
          <w:rFonts w:hAnsi="宋体"/>
          <w:szCs w:val="21"/>
        </w:rPr>
        <w:t>分子的极性，偶极矩，分子的变形性，极化率，诱导偶极，固有偶极，色散力，诱导力，取向力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氢键的形成及特点，分子间力和氢键对物质性质的影响。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7．晶体结构：晶格，晶胞，7大晶系，离子晶体、原子晶体、分子晶体及金属晶体的结构及性质特点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三种典型的离子晶体（CsCl、NaCl、ZnS），离子半径比与配位数的关系，半径比规则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晶格能，影响晶格能的因素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离子极化力和变形性，离子极化对化学键型的影响，离子极化对化合物的结构和性质的影响。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8．氧化还原反应和电化学基础：氧化还原反应方程式的配平（氧化值法，离子电子法）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原电池</w:t>
      </w:r>
      <w:r>
        <w:rPr>
          <w:rFonts w:hint="eastAsia" w:hAnsi="宋体"/>
          <w:szCs w:val="21"/>
        </w:rPr>
        <w:t>及原电池符号、</w:t>
      </w:r>
      <w:r>
        <w:rPr>
          <w:rFonts w:hAnsi="宋体"/>
          <w:szCs w:val="21"/>
        </w:rPr>
        <w:t>电极</w:t>
      </w:r>
      <w:r>
        <w:rPr>
          <w:rFonts w:hint="eastAsia" w:hAnsi="宋体"/>
          <w:szCs w:val="21"/>
        </w:rPr>
        <w:t>及电极反应式的写法（包括含氧的物质在酸、碱性介质中的电极反应式的写法）。标准电极</w:t>
      </w:r>
      <w:r>
        <w:rPr>
          <w:rFonts w:hAnsi="宋体"/>
          <w:szCs w:val="21"/>
        </w:rPr>
        <w:t>电势的概念</w:t>
      </w:r>
      <w:r>
        <w:rPr>
          <w:rFonts w:hint="eastAsia" w:hAnsi="宋体"/>
          <w:szCs w:val="21"/>
        </w:rPr>
        <w:t>，</w:t>
      </w:r>
      <w:r>
        <w:rPr>
          <w:rFonts w:hAnsi="宋体"/>
          <w:szCs w:val="21"/>
        </w:rPr>
        <w:t>影响</w:t>
      </w:r>
      <w:r>
        <w:rPr>
          <w:rFonts w:hint="eastAsia" w:hAnsi="宋体"/>
          <w:szCs w:val="21"/>
        </w:rPr>
        <w:t>电极电势</w:t>
      </w:r>
      <w:r>
        <w:rPr>
          <w:rFonts w:hAnsi="宋体"/>
          <w:szCs w:val="21"/>
        </w:rPr>
        <w:t>因素</w:t>
      </w:r>
      <w:r>
        <w:rPr>
          <w:rFonts w:hint="eastAsia" w:hAnsi="宋体"/>
          <w:szCs w:val="21"/>
        </w:rPr>
        <w:t>（浓度、压强、pH值等）</w:t>
      </w:r>
      <w:r>
        <w:rPr>
          <w:rFonts w:hAnsi="宋体"/>
          <w:szCs w:val="21"/>
        </w:rPr>
        <w:t>及</w:t>
      </w:r>
      <w:r>
        <w:rPr>
          <w:rFonts w:hint="eastAsia" w:hAnsi="宋体"/>
          <w:szCs w:val="21"/>
        </w:rPr>
        <w:t>能斯物方程的</w:t>
      </w:r>
      <w:r>
        <w:rPr>
          <w:rFonts w:hAnsi="宋体"/>
          <w:szCs w:val="21"/>
        </w:rPr>
        <w:t>应用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Δ</w:t>
      </w:r>
      <w:r>
        <w:rPr>
          <w:rFonts w:hAnsi="宋体"/>
          <w:szCs w:val="21"/>
          <w:vertAlign w:val="subscript"/>
        </w:rPr>
        <w:t>r</w:t>
      </w:r>
      <w:r>
        <w:rPr>
          <w:rFonts w:hAnsi="宋体"/>
          <w:szCs w:val="21"/>
        </w:rPr>
        <w:t>G</w:t>
      </w:r>
      <w:r>
        <w:rPr>
          <w:rFonts w:hAnsi="宋体"/>
          <w:szCs w:val="21"/>
          <w:vertAlign w:val="subscript"/>
        </w:rPr>
        <w:t>m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 xml:space="preserve"> 与E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 xml:space="preserve"> 的关系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元素电势图及其应用，电势~pH图。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9．配位化合物：配位化合物的组成（中心离子或原子，配位体，配位数，配离子电荷），配位化合物的命名，价键理论：配位键、杂化轨道与配合物的磁性及空间构型、外轨型和内轨型配合物，晶体场理论：基本要点、中心离子d轨道的分裂和分裂能、分裂后中心离子的d电子排布与配合物的磁性、晶体场稳定化能、晶体场理论的应用，配合物的不稳定常数（K</w:t>
      </w:r>
      <w:r>
        <w:rPr>
          <w:rFonts w:hAnsi="宋体"/>
          <w:szCs w:val="21"/>
          <w:vertAlign w:val="subscript"/>
        </w:rPr>
        <w:t>d</w:t>
      </w:r>
      <w:r>
        <w:rPr>
          <w:rFonts w:hAnsi="宋体"/>
          <w:szCs w:val="21"/>
          <w:vertAlign w:val="superscript"/>
        </w:rPr>
        <w:t>Ө</w:t>
      </w:r>
      <w:r>
        <w:rPr>
          <w:rFonts w:hAnsi="宋体"/>
          <w:szCs w:val="21"/>
        </w:rPr>
        <w:t>），配位平衡与沉淀溶解平衡，配离子之间的平衡，配位平衡与氧化还原平衡，配位平衡与酸碱平衡，配位取代反应。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0</w:t>
      </w:r>
      <w:r>
        <w:rPr>
          <w:rFonts w:hAnsi="宋体"/>
          <w:szCs w:val="21"/>
        </w:rPr>
        <w:t>．d区元素–过渡元素（一）：过渡元素的通性（原子半径、单质的</w:t>
      </w:r>
      <w:r>
        <w:rPr>
          <w:rFonts w:hint="eastAsia" w:hAnsi="宋体"/>
          <w:szCs w:val="21"/>
        </w:rPr>
        <w:t>物理</w:t>
      </w:r>
      <w:r>
        <w:rPr>
          <w:rFonts w:hAnsi="宋体"/>
          <w:szCs w:val="21"/>
        </w:rPr>
        <w:t>性质、金属活泼性、氧化值、离子颜色、配合性、磁性和催化性），钛、钒、铬、锰、铁、钴、镍元素及其化合物的性质和用途。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1</w:t>
      </w: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．ds区元素–过渡元素（二）：铜族元素的通性、单质及其化合物，Cu(I)和Cu(II)的互相转化，IB族与IA族元素性质对比；锌族元素的通性、单质及其化合物， Hg(I)和Hg(II)的相互转化，IIB族与IIA族元素性质对比，惰性电子对效应。</w:t>
      </w:r>
    </w:p>
    <w:p>
      <w:pPr>
        <w:spacing w:line="312" w:lineRule="auto"/>
        <w:rPr>
          <w:rFonts w:hint="eastAsia" w:ascii="宋体" w:hAnsi="宋体" w:cs="宋体"/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 w:ascii="宋体" w:hAnsi="宋体" w:cs="宋体"/>
          <w:b/>
          <w:sz w:val="24"/>
        </w:rPr>
        <w:t>(二)有机化学主要内容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1、 饱和烃（烷烃） 烷烃的同系列及同分异构现象；烷烃的命名方法、物理性质、化学性质；烷烃的构象；卤代反应历程和游离基反应历程。（1）掌握烷烃的同分异构、命名方法、烷烃的构象。（2）掌握烷烃的物理性质和化学性质。（3）掌握卤代反应历程、游离基反应的历程。（4）掌握脂环烃的分类、命名、化学性质和异构现象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2、 不饱和烃 烯烃的结构、同分异构、命名、物理性质和化学性质；炔烃的结构、命名、物理性质和化学性质；1,3－丁二烯的结构和化学性质；亲电加成；氧化反应；聚合反应。（1）掌握不饱和烃的分子结构。（2）掌握不饱和烃的同分异构和命名，构型异构，顺反异构，Z、E命名法。（3）掌握不饱和烃的物理性质和化学性质。（4）掌握亲电加成反应及亲电加成反应历程，马氏规则、诱导效应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3、 芳烃 芳烃的异构现象和命名；单环芳烃的性质；苯环的亲电取代反应历程和定位规律；多环芳烃。（1）掌握单环芳烃的同分异构和命名。（2）掌握单环芳烃的化学性质、芳环亲电取代反应历程以及亲电取代反应的定位规则。（3）了解多环芳烃的结构、命名和性质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4、 旋光异构 物质的旋光性；对映异构现象和分子结构的关系；含手性碳原子化合物的对映异构；不含手性碳原子化合物的对映异构；构型R，S的命名规则；环状化合物的立体异构。（1）了解物质产生旋光的原因。（2）掌握手性、不对称碳原子、对映体、非对映体、内消旋体、外消旋体的概念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5、 卤代烃 卤代烃的分类、命名及同分异构现象；卤代烷物理性质、光谱性质和化学性质；亲核取代反应；消除反应；SN1和SN2的立体化学。（1）掌握卤代烃的分类、命名和同分异构。（2）掌握卤代烃的化学性质，熟悉亲核取代反应和消除反应的历程。（3）掌握卤代烃的制法，了解其在有机合成中的作用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6、 光谱法在有机化学中的应用 红外光谱；紫外光谱；核磁共振谱；质谱。（1）了解紫外光谱、红外光谱、核磁共振谱和质谱在有机化合物结构测定中的应用。（2） 掌握应用四种光谱测定有机化合物结构的方法，并能认识和分析典型的图谱。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7、 醇、酚、醚 醇结构和性质；酚结构和性质；醚结构和性质；消除反应 （1）掌握醇、酚、醚的分类、命名及同分异构。（2）掌握醇、酚、醚的物理性质、光谱性质、化学性质。（3）掌握消除反应及消除反应的历程。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8、 醛、酮、醌 醛、酮的分类、同分异构及命名、物理性质和光谱性质、化学性质；亲核加成反应；醌的命名、结构和性质。（1）掌握醛、酮、醌的结构、命名。（2）掌握醛、酮、醌的物理性质和化学性质。 （3）掌握醛、酮的亲核加成反应历程。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9、 羧酸及其衍生物 羧酸的结构、分类和命名；羧酸的物理性质和化学性质；羧酸衍生物的分类、命名；羧酸衍生物的物理性质和化学性质。取代酸结构、化学性质。（1）掌握羧酸的结构、化学性质。 （2）掌握羧酸衍生物的主要类型：酯、酰卤、酸酐、酰胺。（3）了解羧酸各类衍生物的制法、性质及相互转化关系。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10、 含氮化合物 硝基化合物；胺；偶氮化合物及染料。（1）熟悉芳香族硝基化合物的制法、性质和重要的代表物。（2）掌握胺的分类、命名、结构和立体化学。（3）掌握胺的性质和重要的胺。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11、 含硫和含磷有机化合物 含硫有机化合物；含磷有机化合物。（1）掌握含硫有机化合物和含磷有机化合物的类型、结构和命名。（2）掌握含硫和含磷有机化合物的物理性质、化学性质。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12、 碳水化合物 单糖；双糖（还原性双糖、非还原性双糖）；多糖（纤维素及其应用、淀粉的结构和性质）。（1）掌握单糖的结构、分类、性质和命名。（2）掌握单糖的环状结构、对映异构和构象等立体化学知识。（3）掌握双糖的结构和性质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13、 氨基酸、多肽和蛋白质 氨基酸；多肽；蛋白质。（1）掌握α－氨基酸的结构、性质。（2）了解多肽的结构、命名、结构测定和合成。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14、 类脂化合物 油脂；萜类化合物；甾族化合物。（1）了解油脂的物理和化学性质。（2）熟悉萜的分类、命名和组成。 （3）掌握甾的基本结构、命名和分类。</w:t>
      </w:r>
    </w:p>
    <w:p>
      <w:pPr>
        <w:spacing w:line="312" w:lineRule="auto"/>
        <w:ind w:firstLine="210" w:firstLineChars="100"/>
        <w:rPr>
          <w:rFonts w:hint="eastAsia" w:ascii="宋体" w:hAnsi="宋体" w:cs="Arial"/>
          <w:color w:val="FF0000"/>
          <w:szCs w:val="21"/>
        </w:rPr>
      </w:pPr>
      <w:r>
        <w:rPr>
          <w:rFonts w:hAnsi="宋体"/>
          <w:szCs w:val="21"/>
        </w:rPr>
        <w:t>15、 杂环化合物 五元杂环化合物：呋喃、噻吩、吡咯、糠醛、噻唑、咪唑、吲哚；六元杂环化合物：吡啶的结构和性质，嘧啶；稠环杂环化合物：喹啉、嘌呤。 （1）掌握杂环化合物的分类和命名。 （2）掌握重要的五元、六元杂环化合物的结构、性质和制法。</w:t>
      </w: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b/>
          <w:bCs/>
          <w:color w:val="000000"/>
          <w:spacing w:val="-2"/>
          <w:sz w:val="24"/>
        </w:rPr>
        <w:t xml:space="preserve">   (一)无机化学主要参考书：</w:t>
      </w:r>
      <w:r>
        <w:rPr>
          <w:rFonts w:hint="eastAsia" w:ascii="宋体" w:hAnsi="宋体" w:cs="宋体"/>
          <w:color w:val="000000"/>
          <w:spacing w:val="-2"/>
          <w:sz w:val="24"/>
        </w:rPr>
        <w:t xml:space="preserve">  </w:t>
      </w:r>
      <w:r>
        <w:rPr>
          <w:rFonts w:hint="eastAsia" w:ascii="宋体" w:hAnsi="宋体" w:cs="宋体"/>
          <w:color w:val="000000"/>
          <w:spacing w:val="-2"/>
          <w:szCs w:val="21"/>
        </w:rPr>
        <w:t xml:space="preserve">  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    1.《工科无机化》苏小云 臧祥生编，华东理工大学出版社 </w:t>
      </w:r>
    </w:p>
    <w:p>
      <w:pPr>
        <w:snapToGrid w:val="0"/>
        <w:spacing w:line="360" w:lineRule="auto"/>
        <w:ind w:firstLine="412" w:firstLineChars="200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2.《无机化学》第三版，武汉大学，吉林大学等校编，高等教育出版社</w:t>
      </w:r>
    </w:p>
    <w:p>
      <w:pPr>
        <w:snapToGrid w:val="0"/>
        <w:spacing w:line="360" w:lineRule="auto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    3.《无机化学》第五版，大连理工大学编，高等教育出版社</w:t>
      </w:r>
    </w:p>
    <w:p>
      <w:pPr>
        <w:snapToGrid w:val="0"/>
        <w:spacing w:line="360" w:lineRule="auto"/>
        <w:ind w:firstLine="404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 xml:space="preserve">4.《无机化学学习指导》苏小云 臧祥生编，华东理工大学出版社 </w:t>
      </w:r>
    </w:p>
    <w:p>
      <w:pPr>
        <w:snapToGrid w:val="0"/>
        <w:spacing w:line="360" w:lineRule="auto"/>
        <w:ind w:firstLine="404"/>
        <w:rPr>
          <w:rFonts w:hint="eastAsia" w:ascii="宋体" w:hAnsi="宋体" w:cs="宋体"/>
          <w:b/>
          <w:bCs/>
          <w:spacing w:val="-2"/>
          <w:sz w:val="24"/>
        </w:rPr>
      </w:pPr>
      <w:r>
        <w:rPr>
          <w:rFonts w:hint="eastAsia" w:ascii="宋体" w:hAnsi="宋体" w:cs="宋体"/>
          <w:b/>
          <w:bCs/>
          <w:spacing w:val="-2"/>
          <w:sz w:val="24"/>
        </w:rPr>
        <w:t>(二)有机化学主要参考书：</w:t>
      </w:r>
    </w:p>
    <w:p>
      <w:pPr>
        <w:snapToGrid w:val="0"/>
        <w:spacing w:line="360" w:lineRule="auto"/>
        <w:ind w:firstLine="404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《有机化学》（第四版）高鸿宾，高等教育出版社，</w:t>
      </w:r>
      <w:r>
        <w:rPr>
          <w:rFonts w:ascii="宋体" w:hAnsi="宋体" w:cs="宋体"/>
          <w:color w:val="000000"/>
          <w:spacing w:val="-2"/>
          <w:szCs w:val="21"/>
        </w:rPr>
        <w:t>2005年5月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5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64533"/>
    <w:rsid w:val="000762FE"/>
    <w:rsid w:val="00080730"/>
    <w:rsid w:val="0008607A"/>
    <w:rsid w:val="00097EDA"/>
    <w:rsid w:val="000C25FD"/>
    <w:rsid w:val="000E6981"/>
    <w:rsid w:val="0013079B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2E195A"/>
    <w:rsid w:val="002E449F"/>
    <w:rsid w:val="00311038"/>
    <w:rsid w:val="0033096F"/>
    <w:rsid w:val="003704C9"/>
    <w:rsid w:val="00375432"/>
    <w:rsid w:val="00376784"/>
    <w:rsid w:val="003852C3"/>
    <w:rsid w:val="003A4FD9"/>
    <w:rsid w:val="003B48F8"/>
    <w:rsid w:val="003C498A"/>
    <w:rsid w:val="003C79F9"/>
    <w:rsid w:val="003E6790"/>
    <w:rsid w:val="003F61C3"/>
    <w:rsid w:val="003F6316"/>
    <w:rsid w:val="004428C8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07F69"/>
    <w:rsid w:val="00696C06"/>
    <w:rsid w:val="006A0697"/>
    <w:rsid w:val="006E0495"/>
    <w:rsid w:val="006F7BB8"/>
    <w:rsid w:val="006F7EB7"/>
    <w:rsid w:val="00720FDE"/>
    <w:rsid w:val="0072114F"/>
    <w:rsid w:val="00741BA4"/>
    <w:rsid w:val="00786EAA"/>
    <w:rsid w:val="007D6FDB"/>
    <w:rsid w:val="007E298C"/>
    <w:rsid w:val="007F4C05"/>
    <w:rsid w:val="00830FF2"/>
    <w:rsid w:val="00864E9F"/>
    <w:rsid w:val="0087510B"/>
    <w:rsid w:val="0088131D"/>
    <w:rsid w:val="008921C1"/>
    <w:rsid w:val="00893B85"/>
    <w:rsid w:val="008A1AA2"/>
    <w:rsid w:val="008F2A8F"/>
    <w:rsid w:val="00966CEC"/>
    <w:rsid w:val="00971C90"/>
    <w:rsid w:val="00991A5E"/>
    <w:rsid w:val="009A6931"/>
    <w:rsid w:val="00A26EEB"/>
    <w:rsid w:val="00A605E9"/>
    <w:rsid w:val="00A63AC6"/>
    <w:rsid w:val="00A8099C"/>
    <w:rsid w:val="00AA5FAF"/>
    <w:rsid w:val="00AB2D7C"/>
    <w:rsid w:val="00AB397F"/>
    <w:rsid w:val="00AC3832"/>
    <w:rsid w:val="00AC5F7A"/>
    <w:rsid w:val="00AD73EE"/>
    <w:rsid w:val="00B10A84"/>
    <w:rsid w:val="00B53FB4"/>
    <w:rsid w:val="00B54A9F"/>
    <w:rsid w:val="00B84AB9"/>
    <w:rsid w:val="00BB343C"/>
    <w:rsid w:val="00BB42AE"/>
    <w:rsid w:val="00BE2F94"/>
    <w:rsid w:val="00C176BC"/>
    <w:rsid w:val="00C404D4"/>
    <w:rsid w:val="00C5668E"/>
    <w:rsid w:val="00C65797"/>
    <w:rsid w:val="00C7337E"/>
    <w:rsid w:val="00C76400"/>
    <w:rsid w:val="00C83F79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36FA"/>
    <w:rsid w:val="00DD7E22"/>
    <w:rsid w:val="00DE2F8D"/>
    <w:rsid w:val="00E1145D"/>
    <w:rsid w:val="00E31480"/>
    <w:rsid w:val="00E56501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94A06"/>
    <w:rsid w:val="00FE5C11"/>
    <w:rsid w:val="00FE73E9"/>
    <w:rsid w:val="081D6CD9"/>
    <w:rsid w:val="0BDA23CA"/>
    <w:rsid w:val="0D103998"/>
    <w:rsid w:val="0E3513AA"/>
    <w:rsid w:val="155C5030"/>
    <w:rsid w:val="17C56ACA"/>
    <w:rsid w:val="1D5167C6"/>
    <w:rsid w:val="1FB0689B"/>
    <w:rsid w:val="2209174A"/>
    <w:rsid w:val="27DF24C3"/>
    <w:rsid w:val="27EC5C1A"/>
    <w:rsid w:val="2A280B7A"/>
    <w:rsid w:val="2BA31F0C"/>
    <w:rsid w:val="2E5C00AA"/>
    <w:rsid w:val="2E655DFB"/>
    <w:rsid w:val="34CF00B9"/>
    <w:rsid w:val="35802617"/>
    <w:rsid w:val="37E662AA"/>
    <w:rsid w:val="39054CF9"/>
    <w:rsid w:val="39882216"/>
    <w:rsid w:val="3C954236"/>
    <w:rsid w:val="3CBD78F8"/>
    <w:rsid w:val="3E9E4641"/>
    <w:rsid w:val="3EB957BA"/>
    <w:rsid w:val="3F1B5BCC"/>
    <w:rsid w:val="3F1F4395"/>
    <w:rsid w:val="40C9363E"/>
    <w:rsid w:val="43E96A5E"/>
    <w:rsid w:val="44F20F27"/>
    <w:rsid w:val="46520120"/>
    <w:rsid w:val="473D3651"/>
    <w:rsid w:val="4782592C"/>
    <w:rsid w:val="491E1569"/>
    <w:rsid w:val="4CDF342E"/>
    <w:rsid w:val="4E0A3C16"/>
    <w:rsid w:val="4E1F4769"/>
    <w:rsid w:val="51754FBC"/>
    <w:rsid w:val="52BB2CAF"/>
    <w:rsid w:val="542A4452"/>
    <w:rsid w:val="572107F4"/>
    <w:rsid w:val="58163C92"/>
    <w:rsid w:val="591E00E4"/>
    <w:rsid w:val="5BA74115"/>
    <w:rsid w:val="5CD7032E"/>
    <w:rsid w:val="5CDE7555"/>
    <w:rsid w:val="5D1C43C8"/>
    <w:rsid w:val="5E9A76E2"/>
    <w:rsid w:val="5FB004B0"/>
    <w:rsid w:val="627A7363"/>
    <w:rsid w:val="63D248BA"/>
    <w:rsid w:val="668600E8"/>
    <w:rsid w:val="6C1B591B"/>
    <w:rsid w:val="6DAA00DA"/>
    <w:rsid w:val="6DD56026"/>
    <w:rsid w:val="6FA46281"/>
    <w:rsid w:val="6FFD348E"/>
    <w:rsid w:val="71CD35B0"/>
    <w:rsid w:val="770E1D1B"/>
    <w:rsid w:val="7949045E"/>
    <w:rsid w:val="7D7D2993"/>
    <w:rsid w:val="7FBC1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5</Pages>
  <Words>688</Words>
  <Characters>3926</Characters>
  <Lines>32</Lines>
  <Paragraphs>9</Paragraphs>
  <TotalTime>0</TotalTime>
  <ScaleCrop>false</ScaleCrop>
  <LinksUpToDate>false</LinksUpToDate>
  <CharactersWithSpaces>4605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2017-06-22T13:08:00Z</dcterms:created>
  <dc:creator>jh</dc:creator>
  <cp:lastModifiedBy>Administrator</cp:lastModifiedBy>
  <cp:lastPrinted>2019-07-12T01:50:00Z</cp:lastPrinted>
  <dcterms:modified xsi:type="dcterms:W3CDTF">2021-09-15T05:05:31Z</dcterms:modified>
  <dc:title>浙江师范大学2009年硕士研究生入学考试复试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