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新闻与传播学院 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Cs w:val="21"/>
          <w:u w:val="single"/>
        </w:rPr>
        <w:t xml:space="preserve">  新闻与传播专业     </w:t>
      </w: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b/>
          <w:bCs/>
          <w:szCs w:val="21"/>
          <w:u w:val="single"/>
        </w:rPr>
        <w:t>科目名称：</w:t>
      </w:r>
      <w:r>
        <w:rPr>
          <w:rFonts w:hint="eastAsia"/>
          <w:szCs w:val="21"/>
          <w:u w:val="single"/>
        </w:rPr>
        <w:t xml:space="preserve">  新闻与传播专业综合能力  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2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2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/>
          <w:szCs w:val="21"/>
        </w:rPr>
        <w:t>新闻采访、新闻写作、新闻法规、新闻编辑、新闻评论、网络传播、媒介经营管理、广告管理。</w:t>
      </w:r>
    </w:p>
    <w:p>
      <w:pPr>
        <w:pStyle w:val="11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3.论述题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课程考试的目的在于</w:t>
      </w: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于对新闻传播专业的基本概念、基础知识的掌握情况，以及运用能力。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第一部分</w:t>
      </w:r>
      <w:r>
        <w:rPr>
          <w:rFonts w:hint="eastAsia" w:ascii="宋体" w:hAnsi="宋体" w:cs="Arial"/>
          <w:szCs w:val="21"/>
        </w:rPr>
        <w:t xml:space="preserve"> 新闻采访与写作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新闻采访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新闻写作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记者修养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</w:t>
      </w:r>
      <w:r>
        <w:rPr>
          <w:rFonts w:hint="eastAsia" w:ascii="宋体" w:hAnsi="宋体" w:cs="Arial"/>
          <w:szCs w:val="21"/>
        </w:rPr>
        <w:t>二</w:t>
      </w:r>
      <w:r>
        <w:rPr>
          <w:rFonts w:ascii="宋体" w:hAnsi="宋体" w:cs="Arial"/>
          <w:szCs w:val="21"/>
        </w:rPr>
        <w:t>部分</w:t>
      </w:r>
      <w:r>
        <w:rPr>
          <w:rFonts w:hint="eastAsia" w:ascii="宋体" w:hAnsi="宋体" w:cs="Arial"/>
          <w:szCs w:val="21"/>
        </w:rPr>
        <w:t xml:space="preserve"> 新闻法规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新闻传播法规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新闻传播法制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新闻传播媒体的行政管理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信息发布制度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新闻职业道德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</w:t>
      </w:r>
      <w:r>
        <w:rPr>
          <w:rFonts w:hint="eastAsia" w:ascii="宋体" w:hAnsi="宋体" w:cs="Arial"/>
          <w:szCs w:val="21"/>
        </w:rPr>
        <w:t>三</w:t>
      </w:r>
      <w:r>
        <w:rPr>
          <w:rFonts w:ascii="宋体" w:hAnsi="宋体" w:cs="Arial"/>
          <w:szCs w:val="21"/>
        </w:rPr>
        <w:t>部分</w:t>
      </w:r>
      <w:r>
        <w:rPr>
          <w:rFonts w:hint="eastAsia" w:ascii="宋体" w:hAnsi="宋体" w:cs="Arial"/>
          <w:szCs w:val="21"/>
        </w:rPr>
        <w:t xml:space="preserve"> 新闻编辑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新闻编辑工作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新闻媒介定位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新闻产品设计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新闻报道策划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新闻稿件的分析、选择与修改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新闻标题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版面设计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第四部分 新闻评论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新闻评论的产生与发展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新闻评论的属性与功能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新闻评论的基本类型</w:t>
      </w:r>
    </w:p>
    <w:p>
      <w:pPr>
        <w:numPr>
          <w:ilvl w:val="0"/>
          <w:numId w:val="7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新闻评论的选题与立论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第五部分 网络传播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网络传播的功能和特征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网络媒体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网络信息资源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移动媒体</w:t>
      </w:r>
    </w:p>
    <w:p>
      <w:pPr>
        <w:numPr>
          <w:ilvl w:val="0"/>
          <w:numId w:val="8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网络广告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第六部分 媒介经营管理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媒介市场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媒介产品的组织与生产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媒介广告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受众分析</w:t>
      </w:r>
    </w:p>
    <w:p>
      <w:pPr>
        <w:numPr>
          <w:ilvl w:val="0"/>
          <w:numId w:val="9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战略管理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第七部分 广告管理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广告与广告业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广告经营与管理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广告公司的经营与管理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企业广告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新媒体广告</w:t>
      </w:r>
    </w:p>
    <w:p>
      <w:pPr>
        <w:numPr>
          <w:ilvl w:val="0"/>
          <w:numId w:val="10"/>
        </w:num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广告策划与创意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ind w:left="42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参考教材或主要参考书：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1.《新闻采访与写作》，</w:t>
      </w:r>
      <w:r>
        <w:rPr>
          <w:rFonts w:ascii="宋体" w:hAnsi="宋体" w:cs="Arial"/>
          <w:color w:val="FF0000"/>
          <w:szCs w:val="21"/>
        </w:rPr>
        <w:t>《</w:t>
      </w:r>
      <w:r>
        <w:rPr>
          <w:rFonts w:ascii="宋体" w:hAnsi="宋体" w:cs="Arial"/>
          <w:color w:val="FF0000"/>
          <w:szCs w:val="21"/>
        </w:rPr>
        <w:fldChar w:fldCharType="begin"/>
      </w:r>
      <w:r>
        <w:rPr>
          <w:rFonts w:ascii="宋体" w:hAnsi="宋体" w:cs="Arial"/>
          <w:color w:val="FF0000"/>
          <w:szCs w:val="21"/>
        </w:rPr>
        <w:instrText xml:space="preserve"> HYPERLINK "http://search.dangdang.com/?key2=%D0%C2%CE%C5%B2%C9%B7%C3%D3%EB%D0%B4%D7%F7&amp;medium=01&amp;category_path=01.00.00.00.00.00" \t "_blank" </w:instrText>
      </w:r>
      <w:r>
        <w:rPr>
          <w:rFonts w:ascii="宋体" w:hAnsi="宋体" w:cs="Arial"/>
          <w:color w:val="FF0000"/>
          <w:szCs w:val="21"/>
        </w:rPr>
        <w:fldChar w:fldCharType="separate"/>
      </w:r>
      <w:r>
        <w:rPr>
          <w:rFonts w:ascii="宋体" w:hAnsi="宋体" w:cs="Arial"/>
          <w:color w:val="FF0000"/>
          <w:szCs w:val="21"/>
        </w:rPr>
        <w:t>新闻采访与写作</w:t>
      </w:r>
      <w:r>
        <w:rPr>
          <w:rFonts w:ascii="宋体" w:hAnsi="宋体" w:cs="Arial"/>
          <w:color w:val="FF0000"/>
          <w:szCs w:val="21"/>
        </w:rPr>
        <w:fldChar w:fldCharType="end"/>
      </w:r>
      <w:r>
        <w:rPr>
          <w:rFonts w:ascii="宋体" w:hAnsi="宋体" w:cs="Arial"/>
          <w:color w:val="FF0000"/>
          <w:szCs w:val="21"/>
        </w:rPr>
        <w:t>》编写组</w:t>
      </w:r>
      <w:r>
        <w:rPr>
          <w:rFonts w:hint="eastAsia" w:ascii="宋体" w:hAnsi="宋体" w:cs="Arial"/>
          <w:color w:val="FF0000"/>
          <w:szCs w:val="21"/>
        </w:rPr>
        <w:t>，高等教育出版社，2</w:t>
      </w:r>
      <w:r>
        <w:rPr>
          <w:rFonts w:ascii="宋体" w:hAnsi="宋体" w:cs="Arial"/>
          <w:color w:val="FF0000"/>
          <w:szCs w:val="21"/>
        </w:rPr>
        <w:t>019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2.《新闻传播法教程（第六版）》，魏永征著，中国人民大学出版社，2</w:t>
      </w:r>
      <w:r>
        <w:rPr>
          <w:rFonts w:ascii="宋体" w:hAnsi="宋体" w:cs="Arial"/>
          <w:color w:val="FF0000"/>
          <w:szCs w:val="21"/>
        </w:rPr>
        <w:t>019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3.《新闻编辑》，</w:t>
      </w:r>
      <w:r>
        <w:rPr>
          <w:rFonts w:ascii="宋体" w:hAnsi="宋体" w:cs="Arial"/>
          <w:color w:val="FF0000"/>
          <w:szCs w:val="21"/>
        </w:rPr>
        <w:t>《</w:t>
      </w:r>
      <w:r>
        <w:rPr>
          <w:rFonts w:ascii="宋体" w:hAnsi="宋体" w:cs="Arial"/>
          <w:color w:val="FF0000"/>
          <w:szCs w:val="21"/>
        </w:rPr>
        <w:fldChar w:fldCharType="begin"/>
      </w:r>
      <w:r>
        <w:rPr>
          <w:rFonts w:ascii="宋体" w:hAnsi="宋体" w:cs="Arial"/>
          <w:color w:val="FF0000"/>
          <w:szCs w:val="21"/>
        </w:rPr>
        <w:instrText xml:space="preserve"> HYPERLINK "http://search.dangdang.com/?key2=%D0%C2%CE%C5%B2%C9%B7%C3%D3%EB%D0%B4%D7%F7&amp;medium=01&amp;category_path=01.00.00.00.00.00" \t "_blank" </w:instrText>
      </w:r>
      <w:r>
        <w:rPr>
          <w:rFonts w:ascii="宋体" w:hAnsi="宋体" w:cs="Arial"/>
          <w:color w:val="FF0000"/>
          <w:szCs w:val="21"/>
        </w:rPr>
        <w:fldChar w:fldCharType="separate"/>
      </w:r>
      <w:r>
        <w:rPr>
          <w:rFonts w:ascii="宋体" w:hAnsi="宋体" w:cs="Arial"/>
          <w:color w:val="FF0000"/>
          <w:szCs w:val="21"/>
        </w:rPr>
        <w:t>新闻</w:t>
      </w:r>
      <w:r>
        <w:rPr>
          <w:rFonts w:hint="eastAsia" w:ascii="宋体" w:hAnsi="宋体" w:cs="Arial"/>
          <w:color w:val="FF0000"/>
          <w:szCs w:val="21"/>
        </w:rPr>
        <w:t>编辑</w:t>
      </w:r>
      <w:r>
        <w:rPr>
          <w:rFonts w:ascii="宋体" w:hAnsi="宋体" w:cs="Arial"/>
          <w:color w:val="FF0000"/>
          <w:szCs w:val="21"/>
        </w:rPr>
        <w:fldChar w:fldCharType="end"/>
      </w:r>
      <w:r>
        <w:rPr>
          <w:rFonts w:ascii="宋体" w:hAnsi="宋体" w:cs="Arial"/>
          <w:color w:val="FF0000"/>
          <w:szCs w:val="21"/>
        </w:rPr>
        <w:t>》编写组</w:t>
      </w:r>
      <w:r>
        <w:rPr>
          <w:rFonts w:hint="eastAsia" w:ascii="宋体" w:hAnsi="宋体" w:cs="Arial"/>
          <w:color w:val="FF0000"/>
          <w:szCs w:val="21"/>
        </w:rPr>
        <w:t>，高等教育出版社，2</w:t>
      </w:r>
      <w:r>
        <w:rPr>
          <w:rFonts w:ascii="宋体" w:hAnsi="宋体" w:cs="Arial"/>
          <w:color w:val="FF0000"/>
          <w:szCs w:val="21"/>
        </w:rPr>
        <w:t>020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4.《当代新闻评论教程（第五版）》，丁法章著，复旦大学大学出版社，2</w:t>
      </w:r>
      <w:r>
        <w:rPr>
          <w:rFonts w:ascii="宋体" w:hAnsi="宋体" w:cs="Arial"/>
          <w:color w:val="FF0000"/>
          <w:szCs w:val="21"/>
        </w:rPr>
        <w:t>019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5.《网络传播概论（第四版）》，彭兰著，中国人民大学出版社，2</w:t>
      </w:r>
      <w:r>
        <w:rPr>
          <w:rFonts w:ascii="宋体" w:hAnsi="宋体" w:cs="Arial"/>
          <w:color w:val="FF0000"/>
          <w:szCs w:val="21"/>
        </w:rPr>
        <w:t>017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6.《传媒经济学教程》，喻国明等著，中国人民大学出版社，2</w:t>
      </w:r>
      <w:r>
        <w:rPr>
          <w:rFonts w:ascii="宋体" w:hAnsi="宋体" w:cs="Arial"/>
          <w:color w:val="FF0000"/>
          <w:szCs w:val="21"/>
        </w:rPr>
        <w:t>019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FF0000"/>
          <w:szCs w:val="21"/>
        </w:rPr>
        <w:t>7.《广告经营学（第二版）》，程明、张金海著，北京师范大学出版社，2</w:t>
      </w:r>
      <w:r>
        <w:rPr>
          <w:rFonts w:ascii="宋体" w:hAnsi="宋体" w:cs="Arial"/>
          <w:color w:val="FF0000"/>
          <w:szCs w:val="21"/>
        </w:rPr>
        <w:t>018</w:t>
      </w:r>
      <w:r>
        <w:rPr>
          <w:rFonts w:hint="eastAsia" w:ascii="宋体" w:hAnsi="宋体" w:cs="Arial"/>
          <w:color w:val="FF0000"/>
          <w:szCs w:val="21"/>
        </w:rPr>
        <w:t>年版；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8.参考近两年内新闻传播类权威期刊：《新闻与传播研究》、《国际新闻界》、《现代传播》、《新闻大学》。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56"/>
    <w:multiLevelType w:val="multilevel"/>
    <w:tmpl w:val="06C15B5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98C639C"/>
    <w:multiLevelType w:val="multilevel"/>
    <w:tmpl w:val="098C639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D74045E"/>
    <w:multiLevelType w:val="multilevel"/>
    <w:tmpl w:val="2D74045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398C6D4C"/>
    <w:multiLevelType w:val="multilevel"/>
    <w:tmpl w:val="398C6D4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52141F78"/>
    <w:multiLevelType w:val="multilevel"/>
    <w:tmpl w:val="52141F7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526E0DAE"/>
    <w:multiLevelType w:val="multilevel"/>
    <w:tmpl w:val="526E0DA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586E2C4F"/>
    <w:multiLevelType w:val="multilevel"/>
    <w:tmpl w:val="586E2C4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9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B0C22"/>
    <w:rsid w:val="000C25FD"/>
    <w:rsid w:val="000D4D17"/>
    <w:rsid w:val="000E41DD"/>
    <w:rsid w:val="000E6981"/>
    <w:rsid w:val="000F3A5A"/>
    <w:rsid w:val="001640BE"/>
    <w:rsid w:val="001848FB"/>
    <w:rsid w:val="0019067F"/>
    <w:rsid w:val="00197215"/>
    <w:rsid w:val="001B1D70"/>
    <w:rsid w:val="001C162E"/>
    <w:rsid w:val="001C165A"/>
    <w:rsid w:val="001C2F19"/>
    <w:rsid w:val="001E149A"/>
    <w:rsid w:val="0020731D"/>
    <w:rsid w:val="0023282D"/>
    <w:rsid w:val="0024344A"/>
    <w:rsid w:val="002A5C7C"/>
    <w:rsid w:val="002E0158"/>
    <w:rsid w:val="00306847"/>
    <w:rsid w:val="00311038"/>
    <w:rsid w:val="0033096F"/>
    <w:rsid w:val="00343120"/>
    <w:rsid w:val="003463CE"/>
    <w:rsid w:val="003704C9"/>
    <w:rsid w:val="00375432"/>
    <w:rsid w:val="003852C3"/>
    <w:rsid w:val="003A4FD9"/>
    <w:rsid w:val="003B48F8"/>
    <w:rsid w:val="003C498A"/>
    <w:rsid w:val="003C79F9"/>
    <w:rsid w:val="003E6790"/>
    <w:rsid w:val="003F1DE4"/>
    <w:rsid w:val="003F61C3"/>
    <w:rsid w:val="00443036"/>
    <w:rsid w:val="004523EF"/>
    <w:rsid w:val="00477338"/>
    <w:rsid w:val="004A2003"/>
    <w:rsid w:val="004A72D7"/>
    <w:rsid w:val="004B65A5"/>
    <w:rsid w:val="004B66B8"/>
    <w:rsid w:val="004D407F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D20E8"/>
    <w:rsid w:val="005E2211"/>
    <w:rsid w:val="0068497E"/>
    <w:rsid w:val="00696C06"/>
    <w:rsid w:val="006A0697"/>
    <w:rsid w:val="006E0495"/>
    <w:rsid w:val="006F7BB8"/>
    <w:rsid w:val="006F7EB7"/>
    <w:rsid w:val="0071213F"/>
    <w:rsid w:val="0072114F"/>
    <w:rsid w:val="00741BA4"/>
    <w:rsid w:val="00786EAA"/>
    <w:rsid w:val="00792EEB"/>
    <w:rsid w:val="007D6FDB"/>
    <w:rsid w:val="007E298C"/>
    <w:rsid w:val="007F4C05"/>
    <w:rsid w:val="00811B24"/>
    <w:rsid w:val="00830FF2"/>
    <w:rsid w:val="00864E9F"/>
    <w:rsid w:val="0087510B"/>
    <w:rsid w:val="008921C1"/>
    <w:rsid w:val="00893B85"/>
    <w:rsid w:val="00896E8D"/>
    <w:rsid w:val="008A1AA2"/>
    <w:rsid w:val="00922DF5"/>
    <w:rsid w:val="00971C90"/>
    <w:rsid w:val="00991A5E"/>
    <w:rsid w:val="009A6931"/>
    <w:rsid w:val="009C0833"/>
    <w:rsid w:val="00A26EEB"/>
    <w:rsid w:val="00A30A5C"/>
    <w:rsid w:val="00A605E9"/>
    <w:rsid w:val="00A63AC6"/>
    <w:rsid w:val="00A8099C"/>
    <w:rsid w:val="00AB2D7C"/>
    <w:rsid w:val="00AC3832"/>
    <w:rsid w:val="00AC5F7A"/>
    <w:rsid w:val="00AD73EE"/>
    <w:rsid w:val="00B0367E"/>
    <w:rsid w:val="00B10A84"/>
    <w:rsid w:val="00B201A1"/>
    <w:rsid w:val="00B53FB4"/>
    <w:rsid w:val="00B54A9F"/>
    <w:rsid w:val="00B84AB9"/>
    <w:rsid w:val="00BB42AE"/>
    <w:rsid w:val="00BD7D2A"/>
    <w:rsid w:val="00BE2F94"/>
    <w:rsid w:val="00C176BC"/>
    <w:rsid w:val="00C404D4"/>
    <w:rsid w:val="00C5668E"/>
    <w:rsid w:val="00C65797"/>
    <w:rsid w:val="00C7337E"/>
    <w:rsid w:val="00C76400"/>
    <w:rsid w:val="00CA18C5"/>
    <w:rsid w:val="00CB135C"/>
    <w:rsid w:val="00CE1668"/>
    <w:rsid w:val="00CF4503"/>
    <w:rsid w:val="00D029C7"/>
    <w:rsid w:val="00D111E3"/>
    <w:rsid w:val="00D36237"/>
    <w:rsid w:val="00D45D43"/>
    <w:rsid w:val="00D60C8A"/>
    <w:rsid w:val="00D75841"/>
    <w:rsid w:val="00D76B44"/>
    <w:rsid w:val="00D82DC4"/>
    <w:rsid w:val="00D94FF9"/>
    <w:rsid w:val="00DA1602"/>
    <w:rsid w:val="00DB090F"/>
    <w:rsid w:val="00DB2C14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05466"/>
    <w:rsid w:val="00F26E36"/>
    <w:rsid w:val="00F37904"/>
    <w:rsid w:val="00F70D0A"/>
    <w:rsid w:val="00F9484E"/>
    <w:rsid w:val="00FE5C11"/>
    <w:rsid w:val="00FE73E9"/>
    <w:rsid w:val="081D6CD9"/>
    <w:rsid w:val="0B716C33"/>
    <w:rsid w:val="0E3513AA"/>
    <w:rsid w:val="176B54D3"/>
    <w:rsid w:val="2209174A"/>
    <w:rsid w:val="27DF24C3"/>
    <w:rsid w:val="2BA31F0C"/>
    <w:rsid w:val="2E5C00AA"/>
    <w:rsid w:val="39054CF9"/>
    <w:rsid w:val="3C954236"/>
    <w:rsid w:val="40C9363E"/>
    <w:rsid w:val="425F2D2D"/>
    <w:rsid w:val="43E96A5E"/>
    <w:rsid w:val="45700253"/>
    <w:rsid w:val="48471FDE"/>
    <w:rsid w:val="491E1569"/>
    <w:rsid w:val="496E5260"/>
    <w:rsid w:val="4E0A3C16"/>
    <w:rsid w:val="52BB2CAF"/>
    <w:rsid w:val="5CE7145A"/>
    <w:rsid w:val="63D248BA"/>
    <w:rsid w:val="6DD56026"/>
    <w:rsid w:val="71CD35B0"/>
    <w:rsid w:val="7949045E"/>
    <w:rsid w:val="7B99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_Style 1"/>
    <w:basedOn w:val="1"/>
    <w:qFormat/>
    <w:uiPriority w:val="0"/>
    <w:pPr>
      <w:ind w:firstLine="420" w:firstLineChars="200"/>
    </w:pPr>
  </w:style>
  <w:style w:type="paragraph" w:customStyle="1" w:styleId="13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14">
    <w:name w:val="批注框文本 Char"/>
    <w:link w:val="3"/>
    <w:uiPriority w:val="0"/>
    <w:rPr>
      <w:rFonts w:ascii="Heiti SC Light" w:eastAsia="Heiti SC Light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3</Pages>
  <Words>198</Words>
  <Characters>1130</Characters>
  <Lines>9</Lines>
  <Paragraphs>2</Paragraphs>
  <TotalTime>0</TotalTime>
  <ScaleCrop>false</ScaleCrop>
  <LinksUpToDate>false</LinksUpToDate>
  <CharactersWithSpaces>1326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2019-08-18T07:51:00Z</dcterms:created>
  <dc:creator>jh</dc:creator>
  <cp:lastModifiedBy>Administrator</cp:lastModifiedBy>
  <cp:lastPrinted>2017-06-29T15:59:00Z</cp:lastPrinted>
  <dcterms:modified xsi:type="dcterms:W3CDTF">2021-09-15T05:04:09Z</dcterms:modified>
  <dc:title>浙江师范大学2009年硕士研究生入学考试复试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