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ind w:firstLine="435"/>
        <w:rPr>
          <w:rFonts w:hint="eastAsia" w:ascii="宋体" w:hAnsi="宋体"/>
          <w:szCs w:val="21"/>
        </w:rPr>
      </w:pPr>
      <w:bookmarkStart w:id="0" w:name="_GoBack"/>
      <w:bookmarkEnd w:id="0"/>
    </w:p>
    <w:p>
      <w:pPr>
        <w:spacing w:line="500" w:lineRule="exact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杭州电子科技大学                                                                                                                                                                                                                                                                          全国硕士研究生招生考试业务课考试大纲</w:t>
      </w:r>
    </w:p>
    <w:p>
      <w:pPr>
        <w:spacing w:line="500" w:lineRule="exact"/>
        <w:rPr>
          <w:rFonts w:hint="eastAsia"/>
          <w:b/>
          <w:bCs/>
          <w:u w:val="single"/>
        </w:rPr>
      </w:pPr>
      <w:r>
        <w:rPr>
          <w:rFonts w:hint="eastAsia"/>
          <w:b/>
          <w:bCs/>
          <w:sz w:val="28"/>
          <w:u w:val="single"/>
        </w:rPr>
        <w:t xml:space="preserve">       考试科目名称：中级财务会计         科目代码：821          </w:t>
      </w:r>
    </w:p>
    <w:p>
      <w:pPr>
        <w:spacing w:line="260" w:lineRule="exact"/>
        <w:ind w:firstLine="435"/>
        <w:rPr>
          <w:rFonts w:hint="eastAsia" w:ascii="宋体" w:hAnsi="宋体"/>
          <w:szCs w:val="21"/>
        </w:rPr>
      </w:pPr>
    </w:p>
    <w:p>
      <w:pPr>
        <w:spacing w:line="260" w:lineRule="exact"/>
        <w:ind w:firstLine="840" w:firstLineChars="400"/>
        <w:rPr>
          <w:rFonts w:hint="eastAsia"/>
        </w:rPr>
      </w:pP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一、总论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财务会计的基本含义及其特征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财务会计的概念框架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企业会计准则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二、货币资金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现金的定义、现金管理及其核算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银行存款的结算方式及银行存款的核算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其他货币资金的内容及其核算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三、应收款项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应收票据的核算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应收账款的会计处理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预付账款和其他应收款的核算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</w:t>
      </w:r>
      <w:r>
        <w:rPr>
          <w:rFonts w:hint="eastAsia"/>
          <w:color w:val="000000"/>
          <w:szCs w:val="20"/>
        </w:rPr>
        <w:t xml:space="preserve"> </w:t>
      </w:r>
      <w:r>
        <w:rPr>
          <w:rFonts w:hint="eastAsia" w:ascii="宋体" w:hAnsi="宋体"/>
          <w:szCs w:val="21"/>
        </w:rPr>
        <w:t>金融资产转移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四、存货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存货的初始确认与计量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发出存货的计价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计划成本的核算理解存货的估价方法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 w:ascii="宋体" w:hAnsi="宋体"/>
          <w:szCs w:val="21"/>
        </w:rPr>
        <w:t xml:space="preserve">存货的期末计价                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五、金融资产投资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金融资产的含义及范围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2．以</w:t>
      </w:r>
      <w:r>
        <w:rPr>
          <w:rFonts w:hint="eastAsia" w:ascii="宋体" w:hAnsi="宋体"/>
          <w:szCs w:val="21"/>
        </w:rPr>
        <w:t>摊余成本计量的金融资产核算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以公允价值计量且其变动计入其他综合收益的金融资产核算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 w:ascii="宋体" w:hAnsi="宋体"/>
          <w:szCs w:val="21"/>
        </w:rPr>
        <w:t>以公允价值计量且其变动计入当期损益的金融资产核算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六、长期股权投资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长期股权投资的范围及初始计量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长期股权投资的后续计量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长期股权投资方法的转换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 w:ascii="宋体" w:hAnsi="宋体"/>
          <w:szCs w:val="21"/>
        </w:rPr>
        <w:t>长期股权投资的处置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七、固定资产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固定资产的概述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固定资产的确认与初始计量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固定资产的后续计量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 w:ascii="宋体" w:hAnsi="宋体"/>
          <w:szCs w:val="21"/>
        </w:rPr>
        <w:t>固定资产的清查与期末计价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5．</w:t>
      </w:r>
      <w:r>
        <w:rPr>
          <w:rFonts w:hint="eastAsia" w:ascii="宋体" w:hAnsi="宋体"/>
          <w:szCs w:val="21"/>
        </w:rPr>
        <w:t>固定资产的处置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八、无形资产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无形资产的概述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无形资产的初始计量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内部研究开发费的确认与计量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 w:ascii="宋体" w:hAnsi="宋体"/>
          <w:szCs w:val="21"/>
        </w:rPr>
        <w:t>无形资产的后续计量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5．</w:t>
      </w:r>
      <w:r>
        <w:rPr>
          <w:rFonts w:hint="eastAsia" w:ascii="宋体" w:hAnsi="宋体"/>
          <w:szCs w:val="21"/>
        </w:rPr>
        <w:t>无形资产的处置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九、投资性房地产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/>
        </w:rPr>
        <w:t>投资性房地产概述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/>
        </w:rPr>
        <w:t>投资性房地产确认与初始计量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投资性房地产的后续计量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 w:ascii="宋体" w:hAnsi="宋体"/>
          <w:szCs w:val="21"/>
        </w:rPr>
        <w:t>投资性房地产的转换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5．</w:t>
      </w:r>
      <w:r>
        <w:rPr>
          <w:rFonts w:hint="eastAsia" w:ascii="宋体" w:hAnsi="宋体"/>
          <w:szCs w:val="21"/>
        </w:rPr>
        <w:t>投资性房地产的处置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十、资产减值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资产减值的概述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资产减值损失的确认与计量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资产组的认定及减值处理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 w:ascii="宋体" w:hAnsi="宋体"/>
          <w:szCs w:val="21"/>
        </w:rPr>
        <w:t>商誉的减值测试与会计处理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十一、负债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负债的概述</w:t>
      </w:r>
    </w:p>
    <w:p>
      <w:pPr>
        <w:tabs>
          <w:tab w:val="left" w:pos="1980"/>
        </w:tabs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流动负债的确认与计量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非流动负债的确认与计量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 w:ascii="宋体" w:hAnsi="宋体"/>
          <w:szCs w:val="21"/>
        </w:rPr>
        <w:t>预计负债及其账务处理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5．</w:t>
      </w:r>
      <w:r>
        <w:rPr>
          <w:rFonts w:hint="eastAsia" w:ascii="宋体" w:hAnsi="宋体"/>
          <w:szCs w:val="21"/>
        </w:rPr>
        <w:t>借款费用及其账务处理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6．</w:t>
      </w:r>
      <w:r>
        <w:rPr>
          <w:rFonts w:hint="eastAsia" w:ascii="宋体" w:hAnsi="宋体"/>
          <w:szCs w:val="21"/>
        </w:rPr>
        <w:t>债务重组及其账务处理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十二、所有者权益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所有者权益的概述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投入资本的核算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留存收益的核算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 w:ascii="宋体" w:hAnsi="宋体"/>
          <w:szCs w:val="21"/>
        </w:rPr>
        <w:t>权益结算的股份支付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十三、收入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收入的定义及其分类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收入的确认和计量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3．合同成本（合同履约成本、合同取得成本）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 w:ascii="宋体" w:hAnsi="宋体"/>
          <w:szCs w:val="21"/>
        </w:rPr>
        <w:t>关于特定交易的会计处理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十四、费用与利润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/>
        </w:rPr>
        <w:t>成本费用的联系与区别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/>
        </w:rPr>
        <w:t>利润及其核算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所得税的核算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十五、财务报告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财务报告的概述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资产负债表的编制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利润表的编制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 w:ascii="宋体" w:hAnsi="宋体"/>
          <w:szCs w:val="21"/>
        </w:rPr>
        <w:t>现金流量表的编制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5．</w:t>
      </w:r>
      <w:r>
        <w:rPr>
          <w:rFonts w:hint="eastAsia" w:ascii="宋体" w:hAnsi="宋体"/>
          <w:szCs w:val="21"/>
        </w:rPr>
        <w:t>所有者权益变动表的编制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6．</w:t>
      </w:r>
      <w:r>
        <w:rPr>
          <w:rFonts w:hint="eastAsia" w:ascii="宋体" w:hAnsi="宋体"/>
          <w:szCs w:val="21"/>
        </w:rPr>
        <w:t>财务报表附注</w:t>
      </w:r>
    </w:p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十六、会计调整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  <w:szCs w:val="21"/>
        </w:rPr>
        <w:t>会计政策及其变更的会计处理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  <w:szCs w:val="21"/>
        </w:rPr>
        <w:t>会计估计及其变更的会计处理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  <w:szCs w:val="21"/>
        </w:rPr>
        <w:t>会计差错更正会计处理</w:t>
      </w:r>
    </w:p>
    <w:p>
      <w:pPr>
        <w:rPr>
          <w:rFonts w:hint="eastAsia" w:ascii="宋体" w:hAnsi="宋体"/>
          <w:szCs w:val="21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 w:ascii="宋体" w:hAnsi="宋体"/>
          <w:szCs w:val="21"/>
        </w:rPr>
        <w:t>资产负债表日后事项会计处理</w:t>
      </w:r>
    </w:p>
    <w:p>
      <w:pPr>
        <w:rPr>
          <w:rFonts w:hint="eastAsia" w:ascii="宋体" w:hAnsi="宋体"/>
          <w:szCs w:val="21"/>
        </w:rPr>
      </w:pPr>
    </w:p>
    <w:p>
      <w:pPr>
        <w:ind w:firstLine="211" w:firstLineChars="100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参考书目：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《中级财务会计》，祝素月，经济科学出版社，2016年09月</w:t>
      </w:r>
    </w:p>
    <w:p>
      <w:pPr>
        <w:ind w:firstLine="211" w:firstLineChars="100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补充说明：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涉及到会计实务的内容，以新颁布及修订的《企业会计准则》为准。</w:t>
      </w:r>
    </w:p>
    <w:sectPr>
      <w:footerReference r:id="rId3" w:type="default"/>
      <w:footerReference r:id="rId4" w:type="even"/>
      <w:pgSz w:w="10433" w:h="14742"/>
      <w:pgMar w:top="567" w:right="851" w:bottom="737" w:left="1620" w:header="851" w:footer="992" w:gutter="0"/>
      <w:pgNumType w:start="1" w:chapStyle="1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  <w:kern w:val="0"/>
        <w:szCs w:val="21"/>
      </w:rPr>
      <w:t>第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  <w:lang/>
      </w:rPr>
      <w:t>1</w:t>
    </w:r>
    <w:r>
      <w:rPr>
        <w:rStyle w:val="11"/>
      </w:rPr>
      <w:fldChar w:fldCharType="end"/>
    </w:r>
    <w:r>
      <w:rPr>
        <w:rFonts w:hint="eastAsia"/>
        <w:kern w:val="0"/>
        <w:szCs w:val="21"/>
      </w:rPr>
      <w:t>页 共</w:t>
    </w:r>
    <w:r>
      <w:rPr>
        <w:rStyle w:val="11"/>
      </w:rPr>
      <w:fldChar w:fldCharType="begin"/>
    </w:r>
    <w:r>
      <w:rPr>
        <w:rStyle w:val="11"/>
      </w:rPr>
      <w:instrText xml:space="preserve"> NUMPAGES </w:instrText>
    </w:r>
    <w:r>
      <w:rPr>
        <w:rStyle w:val="11"/>
      </w:rPr>
      <w:fldChar w:fldCharType="separate"/>
    </w:r>
    <w:r>
      <w:rPr>
        <w:rStyle w:val="11"/>
        <w:lang/>
      </w:rPr>
      <w:t>3</w:t>
    </w:r>
    <w:r>
      <w:rPr>
        <w:rStyle w:val="1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4A"/>
    <w:rsid w:val="0002161A"/>
    <w:rsid w:val="0004009E"/>
    <w:rsid w:val="00063636"/>
    <w:rsid w:val="000728C5"/>
    <w:rsid w:val="00085A84"/>
    <w:rsid w:val="000C18FB"/>
    <w:rsid w:val="000D3CE0"/>
    <w:rsid w:val="001011F2"/>
    <w:rsid w:val="00120FDD"/>
    <w:rsid w:val="00135E8F"/>
    <w:rsid w:val="00137370"/>
    <w:rsid w:val="001417AD"/>
    <w:rsid w:val="0022195F"/>
    <w:rsid w:val="00221989"/>
    <w:rsid w:val="00227BBD"/>
    <w:rsid w:val="002B444D"/>
    <w:rsid w:val="0031467D"/>
    <w:rsid w:val="00352C1B"/>
    <w:rsid w:val="0036361A"/>
    <w:rsid w:val="00364BED"/>
    <w:rsid w:val="00373124"/>
    <w:rsid w:val="003C5491"/>
    <w:rsid w:val="003F332B"/>
    <w:rsid w:val="0040261D"/>
    <w:rsid w:val="00424A39"/>
    <w:rsid w:val="00477D87"/>
    <w:rsid w:val="004A1C9D"/>
    <w:rsid w:val="004A67FF"/>
    <w:rsid w:val="004C300A"/>
    <w:rsid w:val="004D7F94"/>
    <w:rsid w:val="00517639"/>
    <w:rsid w:val="00521109"/>
    <w:rsid w:val="0057285F"/>
    <w:rsid w:val="00575715"/>
    <w:rsid w:val="005A4D95"/>
    <w:rsid w:val="006235BF"/>
    <w:rsid w:val="006764AA"/>
    <w:rsid w:val="006818A0"/>
    <w:rsid w:val="00683FD9"/>
    <w:rsid w:val="00683FE4"/>
    <w:rsid w:val="006B51A5"/>
    <w:rsid w:val="006C1CFB"/>
    <w:rsid w:val="006C2CDB"/>
    <w:rsid w:val="006E26AE"/>
    <w:rsid w:val="0073784A"/>
    <w:rsid w:val="00743495"/>
    <w:rsid w:val="00793090"/>
    <w:rsid w:val="007A246B"/>
    <w:rsid w:val="007A2D84"/>
    <w:rsid w:val="007B313F"/>
    <w:rsid w:val="007D27AB"/>
    <w:rsid w:val="007E702C"/>
    <w:rsid w:val="007F663A"/>
    <w:rsid w:val="008150E1"/>
    <w:rsid w:val="00842E94"/>
    <w:rsid w:val="00843F14"/>
    <w:rsid w:val="00854C3F"/>
    <w:rsid w:val="00872A20"/>
    <w:rsid w:val="0087623E"/>
    <w:rsid w:val="00910E07"/>
    <w:rsid w:val="00913950"/>
    <w:rsid w:val="0092163F"/>
    <w:rsid w:val="00921F3A"/>
    <w:rsid w:val="00952E24"/>
    <w:rsid w:val="00956039"/>
    <w:rsid w:val="00963558"/>
    <w:rsid w:val="00974699"/>
    <w:rsid w:val="009A1803"/>
    <w:rsid w:val="009A5159"/>
    <w:rsid w:val="009A671D"/>
    <w:rsid w:val="009C045E"/>
    <w:rsid w:val="009C1CC3"/>
    <w:rsid w:val="009E388C"/>
    <w:rsid w:val="009F2636"/>
    <w:rsid w:val="00A2481F"/>
    <w:rsid w:val="00A6768D"/>
    <w:rsid w:val="00AA665F"/>
    <w:rsid w:val="00AB5088"/>
    <w:rsid w:val="00AD0467"/>
    <w:rsid w:val="00B03E78"/>
    <w:rsid w:val="00B23755"/>
    <w:rsid w:val="00B56371"/>
    <w:rsid w:val="00B657F3"/>
    <w:rsid w:val="00B66AC4"/>
    <w:rsid w:val="00B76DA3"/>
    <w:rsid w:val="00B7784F"/>
    <w:rsid w:val="00BB1D10"/>
    <w:rsid w:val="00BC7126"/>
    <w:rsid w:val="00C23A92"/>
    <w:rsid w:val="00C41580"/>
    <w:rsid w:val="00C45BC3"/>
    <w:rsid w:val="00C45C26"/>
    <w:rsid w:val="00C46500"/>
    <w:rsid w:val="00C6005D"/>
    <w:rsid w:val="00C65214"/>
    <w:rsid w:val="00C748B1"/>
    <w:rsid w:val="00CA7F60"/>
    <w:rsid w:val="00CD1B04"/>
    <w:rsid w:val="00CD601A"/>
    <w:rsid w:val="00CF55CD"/>
    <w:rsid w:val="00D11376"/>
    <w:rsid w:val="00D215EB"/>
    <w:rsid w:val="00D27DB1"/>
    <w:rsid w:val="00D93B15"/>
    <w:rsid w:val="00DD1CFC"/>
    <w:rsid w:val="00DD7720"/>
    <w:rsid w:val="00DD7C34"/>
    <w:rsid w:val="00E04B93"/>
    <w:rsid w:val="00E22566"/>
    <w:rsid w:val="00E41430"/>
    <w:rsid w:val="00E45684"/>
    <w:rsid w:val="00ED0886"/>
    <w:rsid w:val="00ED566B"/>
    <w:rsid w:val="00F03E5D"/>
    <w:rsid w:val="00F16302"/>
    <w:rsid w:val="00F33836"/>
    <w:rsid w:val="00F74109"/>
    <w:rsid w:val="00F76850"/>
    <w:rsid w:val="00F94FB5"/>
    <w:rsid w:val="00FA5E79"/>
    <w:rsid w:val="00FB55D2"/>
    <w:rsid w:val="00FB7D0A"/>
    <w:rsid w:val="00FD2DC2"/>
    <w:rsid w:val="00FD50BD"/>
    <w:rsid w:val="00FE2F31"/>
    <w:rsid w:val="00FF7A7F"/>
    <w:rsid w:val="3FAD6AEE"/>
    <w:rsid w:val="637B5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Indent"/>
    <w:basedOn w:val="1"/>
    <w:uiPriority w:val="0"/>
    <w:pPr>
      <w:spacing w:line="360" w:lineRule="exact"/>
      <w:ind w:firstLine="480"/>
    </w:pPr>
    <w:rPr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iPriority w:val="0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7">
    <w:name w:val="toc 2"/>
    <w:basedOn w:val="1"/>
    <w:next w:val="1"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</Words>
  <Characters>1242</Characters>
  <Lines>10</Lines>
  <Paragraphs>2</Paragraphs>
  <TotalTime>0</TotalTime>
  <ScaleCrop>false</ScaleCrop>
  <LinksUpToDate>false</LinksUpToDate>
  <CharactersWithSpaces>1457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2012-09-17T14:37:00Z</dcterms:created>
  <cp:lastModifiedBy>Administrator</cp:lastModifiedBy>
  <cp:lastPrinted>2012-09-18T06:09:00Z</cp:lastPrinted>
  <dcterms:modified xsi:type="dcterms:W3CDTF">2021-09-16T06:57:14Z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