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360" w:lineRule="auto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</w:t>
      </w:r>
      <w:r>
        <w:rPr>
          <w:rFonts w:hint="eastAsia" w:ascii="Times New Roman" w:hAnsi="Times New Roman"/>
          <w:sz w:val="28"/>
          <w:szCs w:val="28"/>
        </w:rPr>
        <w:t>金融风险管理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试卷满分及考试时间：试卷满分为100分，考试时间为180分钟。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金融风险导论</w:t>
      </w:r>
    </w:p>
    <w:p>
      <w:pPr>
        <w:pStyle w:val="7"/>
        <w:spacing w:after="0" w:line="360" w:lineRule="auto"/>
        <w:ind w:left="0" w:right="0" w:firstLine="0" w:firstLineChars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金融风险概述；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金融风险识别与管理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考试要求：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了解本课程研究的对象、内容；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2. 了解金融风险的基础知识，掌握风险识别的基本方法。</w:t>
      </w: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金融风险测度工具与方法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统计学基础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金融风险测度概述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风险价值（VaR）的计算方法与应用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4. 各种方法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了解金融风险计算的统计学基础；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认识金融风险测度的基础知识点；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归纳风险价值的三种计算方法并熟练应用进行实证分析。</w:t>
      </w: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三、信用风险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信用风险概述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传统信用风险度量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信用等级转移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4. KMV模型、CreditMetrics模型、CPV模型、CreditRist+模型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5. 信用风险管理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理解度量信用风险大小的基本参数及传统度量方法；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掌握信用转移概率的计算；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归纳主要的信用风险度量模型和方法及其适用范围；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4. 了解信用风险管理的常用方法。</w:t>
      </w: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市场风险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市场风险概述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市场风险度量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市场风险管理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了解市场风险的定义和分类；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掌握市场风险度量方法并熟练应用；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了解市场监测、报告与控制体系。</w:t>
      </w: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五、利率风险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利率风险概述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利率风险度量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利率风险管理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了解利率风险的定义并学会识别利率风险；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掌握利率风险度量的基本方法并熟练应用；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了解利率风险管理的基本理论并实证分析。</w:t>
      </w: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rFonts w:hint="eastAsia"/>
          <w:b/>
          <w:sz w:val="28"/>
          <w:szCs w:val="28"/>
        </w:rPr>
        <w:t>流动性风险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流动性风险概述、分类及来源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流动性风险度量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流动性风险管理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了解流动性风险分类及来源；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归纳资产流动性风险度量方法；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理解并掌握融资流动性风险度量方法；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4. 了解流动性风险管理策略与方法；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5. 掌握资产负债流动性管理与方法；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6. 了解金融机构现代流动性风险管理的步骤。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</w:t>
      </w:r>
      <w:r>
        <w:rPr>
          <w:rFonts w:hint="eastAsia"/>
          <w:sz w:val="28"/>
          <w:szCs w:val="28"/>
        </w:rPr>
        <w:t>：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1）陆静 编著. 金融风险管理(第1版). 中国人民大学出版社, 2015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（2</w:t>
      </w:r>
      <w:r>
        <w:rPr>
          <w:sz w:val="28"/>
          <w:szCs w:val="28"/>
        </w:rPr>
        <w:t>）约翰.赫尔（加），《风险管理与金融机构》，机械工业出版社，2013。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4957"/>
    <w:rsid w:val="002F59DA"/>
    <w:rsid w:val="00326D7B"/>
    <w:rsid w:val="003C5380"/>
    <w:rsid w:val="004259D1"/>
    <w:rsid w:val="004725FA"/>
    <w:rsid w:val="004F45DC"/>
    <w:rsid w:val="00696E81"/>
    <w:rsid w:val="00701454"/>
    <w:rsid w:val="008849ED"/>
    <w:rsid w:val="0088782A"/>
    <w:rsid w:val="009F7B4E"/>
    <w:rsid w:val="00AC32B2"/>
    <w:rsid w:val="00C33B78"/>
    <w:rsid w:val="00DC215E"/>
    <w:rsid w:val="01D65E9F"/>
    <w:rsid w:val="24A36145"/>
    <w:rsid w:val="314E4C04"/>
    <w:rsid w:val="4CB034A5"/>
    <w:rsid w:val="6E5B2B6E"/>
    <w:rsid w:val="7262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9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0">
    <w:name w:val="Placeholder Text"/>
    <w:semiHidden/>
    <w:uiPriority w:val="99"/>
    <w:rPr>
      <w:color w:val="808080"/>
    </w:rPr>
  </w:style>
  <w:style w:type="character" w:customStyle="1" w:styleId="11">
    <w:name w:val="页脚 字符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页眉 字符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819</Characters>
  <Lines>6</Lines>
  <Paragraphs>1</Paragraphs>
  <TotalTime>0</TotalTime>
  <ScaleCrop>false</ScaleCrop>
  <LinksUpToDate>false</LinksUpToDate>
  <CharactersWithSpaces>961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2019-07-22T00:47:00Z</dcterms:created>
  <dc:creator>之之</dc:creator>
  <cp:lastModifiedBy>Administrator</cp:lastModifiedBy>
  <dcterms:modified xsi:type="dcterms:W3CDTF">2021-09-17T02:22:02Z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