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612-中国古代哲学史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中国哲学史》（不含近现代）是哲学学科的基础性学科之一，考试要力求反映哲学一级学科的特点，科学、公平、准确、规范地测评考生在本领域的基本素质和综合能力，以利于选拔具有发展潜力的优秀学子入学，进而培养具有良好哲学素养、深层分析与解决问题能力的高层次哲学专业人才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测试考生对中国哲学史（不含近现代）的基本概念、基础知识的掌握情况和运用能力。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（一）</w:t>
      </w:r>
      <w:r>
        <w:rPr>
          <w:rFonts w:ascii="Calibri" w:hAnsi="宋体"/>
          <w:szCs w:val="21"/>
        </w:rPr>
        <w:t>先秦编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孔子的哲学思想及其历史地位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老子的哲学思想及其历史影响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墨子的哲学思想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孟子哲学及其对孔子思想的发展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《大学》、《中庸》的哲学思想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庄子的哲学思想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稷下道家的哲学思想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8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先秦阴阳五行学说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9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《易传》的哲学思想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10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名辩思潮与后期墨家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11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荀子哲学及其对先秦百家之学的总结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12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韩非的法家哲学</w:t>
      </w:r>
    </w:p>
    <w:p>
      <w:pPr>
        <w:snapToGrid w:val="0"/>
        <w:spacing w:line="400" w:lineRule="exact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（二）</w:t>
      </w:r>
      <w:r>
        <w:rPr>
          <w:rFonts w:ascii="Calibri" w:hAnsi="宋体"/>
          <w:szCs w:val="21"/>
        </w:rPr>
        <w:t>汉唐编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秦汉时期的黄老之学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董仲舒的哲学思想与谶纬之学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王充的哲学思想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王弼与玄学的贵无哲学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嵇康、阮籍哲学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郭象与玄学的崇有哲学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道教与葛洪的道教哲学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8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僧肇、慧远、竺道生的佛教哲学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9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《大乘起信论》的佛教哲学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10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范缜的哲学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11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天台、唯识、华严、禅宗的佛教哲学及其历史影响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12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成玄英的重玄学与司马承祯的性命说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13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韩愈、李翱的儒家哲学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14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柳宗元、刘禹锡的哲学思想</w:t>
      </w:r>
    </w:p>
    <w:p>
      <w:pPr>
        <w:snapToGrid w:val="0"/>
        <w:spacing w:line="400" w:lineRule="exact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（三）</w:t>
      </w:r>
      <w:r>
        <w:rPr>
          <w:rFonts w:ascii="Calibri" w:hAnsi="宋体"/>
          <w:szCs w:val="21"/>
        </w:rPr>
        <w:t>宋元明清编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宋初三先生与道学的初创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理学开山周敦颐的哲学思想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邵雍的皇极经世之学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二程兄弟的理学思想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王安石的哲学思想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张载的哲学思想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朱熹的理学思想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8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陆九渊的心学思想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9．</w:t>
      </w:r>
      <w:r>
        <w:rPr>
          <w:rFonts w:ascii="Calibri" w:hAnsi="宋体"/>
          <w:szCs w:val="21"/>
        </w:rPr>
        <w:t>浙东事功学派陈亮、叶适的思想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10</w:t>
      </w:r>
      <w:r>
        <w:rPr>
          <w:rFonts w:hint="eastAsia" w:ascii="宋体" w:hAnsi="宋体"/>
          <w:szCs w:val="21"/>
        </w:rPr>
        <w:t>．</w:t>
      </w:r>
      <w:r>
        <w:rPr>
          <w:rFonts w:ascii="Calibri" w:hAnsi="宋体"/>
          <w:szCs w:val="21"/>
        </w:rPr>
        <w:t>王守仁的心学思想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11．</w:t>
      </w:r>
      <w:r>
        <w:rPr>
          <w:rFonts w:ascii="Calibri" w:hAnsi="宋体"/>
          <w:szCs w:val="21"/>
        </w:rPr>
        <w:t>王廷相的哲学思想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12．</w:t>
      </w:r>
      <w:r>
        <w:rPr>
          <w:rFonts w:ascii="Calibri" w:hAnsi="宋体"/>
          <w:szCs w:val="21"/>
        </w:rPr>
        <w:t>李贽的</w:t>
      </w:r>
      <w:r>
        <w:rPr>
          <w:rFonts w:hint="eastAsia" w:ascii="Calibri" w:hAnsi="宋体"/>
          <w:szCs w:val="21"/>
        </w:rPr>
        <w:t>“</w:t>
      </w:r>
      <w:r>
        <w:rPr>
          <w:rFonts w:ascii="Calibri" w:hAnsi="宋体"/>
          <w:szCs w:val="21"/>
        </w:rPr>
        <w:t>异端</w:t>
      </w:r>
      <w:r>
        <w:rPr>
          <w:rFonts w:hint="eastAsia" w:ascii="Calibri" w:hAnsi="宋体"/>
          <w:szCs w:val="21"/>
        </w:rPr>
        <w:t>”</w:t>
      </w:r>
      <w:r>
        <w:rPr>
          <w:rFonts w:ascii="Calibri" w:hAnsi="宋体"/>
          <w:szCs w:val="21"/>
        </w:rPr>
        <w:t>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13．</w:t>
      </w:r>
      <w:r>
        <w:rPr>
          <w:rFonts w:ascii="Calibri" w:hAnsi="宋体"/>
          <w:szCs w:val="21"/>
        </w:rPr>
        <w:t>黄宗羲的启蒙哲学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14．</w:t>
      </w:r>
      <w:r>
        <w:rPr>
          <w:rFonts w:ascii="Calibri" w:hAnsi="宋体"/>
          <w:szCs w:val="21"/>
        </w:rPr>
        <w:t>方以智的哲学思想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15．</w:t>
      </w:r>
      <w:r>
        <w:rPr>
          <w:rFonts w:ascii="Calibri" w:hAnsi="宋体"/>
          <w:szCs w:val="21"/>
        </w:rPr>
        <w:t>王夫之的哲学思想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16．</w:t>
      </w:r>
      <w:r>
        <w:rPr>
          <w:rFonts w:ascii="Calibri" w:hAnsi="宋体"/>
          <w:szCs w:val="21"/>
        </w:rPr>
        <w:t>颜元的哲学思想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17．</w:t>
      </w:r>
      <w:r>
        <w:rPr>
          <w:rFonts w:ascii="Calibri" w:hAnsi="宋体"/>
          <w:szCs w:val="21"/>
        </w:rPr>
        <w:t>戴震的哲学思想</w:t>
      </w:r>
    </w:p>
    <w:p>
      <w:pPr>
        <w:snapToGrid w:val="0"/>
        <w:spacing w:line="400" w:lineRule="exact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考试类型一般包括名词解释、简答、论述题等，试题满分共计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Calibri" w:hAnsi="宋体"/>
          <w:szCs w:val="21"/>
        </w:rPr>
        <w:t>采取笔试方式，考试时间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3"/>
    <w:rsid w:val="00003F19"/>
    <w:rsid w:val="00004ACB"/>
    <w:rsid w:val="00035E75"/>
    <w:rsid w:val="00043B98"/>
    <w:rsid w:val="0004466F"/>
    <w:rsid w:val="00047E76"/>
    <w:rsid w:val="00062390"/>
    <w:rsid w:val="000748F3"/>
    <w:rsid w:val="000D1E8A"/>
    <w:rsid w:val="000D2020"/>
    <w:rsid w:val="000E5AC0"/>
    <w:rsid w:val="00101D71"/>
    <w:rsid w:val="0011177C"/>
    <w:rsid w:val="00114EAD"/>
    <w:rsid w:val="00137AF3"/>
    <w:rsid w:val="00185869"/>
    <w:rsid w:val="00193A7B"/>
    <w:rsid w:val="001C01F0"/>
    <w:rsid w:val="001D1839"/>
    <w:rsid w:val="001E206B"/>
    <w:rsid w:val="001E348B"/>
    <w:rsid w:val="002A647A"/>
    <w:rsid w:val="002E50BA"/>
    <w:rsid w:val="00300435"/>
    <w:rsid w:val="003004B4"/>
    <w:rsid w:val="003015DC"/>
    <w:rsid w:val="00301D59"/>
    <w:rsid w:val="003120FD"/>
    <w:rsid w:val="00385B55"/>
    <w:rsid w:val="00393828"/>
    <w:rsid w:val="00426F88"/>
    <w:rsid w:val="0047775C"/>
    <w:rsid w:val="00480666"/>
    <w:rsid w:val="00496BD5"/>
    <w:rsid w:val="004E27DB"/>
    <w:rsid w:val="00523584"/>
    <w:rsid w:val="0053637E"/>
    <w:rsid w:val="005410AC"/>
    <w:rsid w:val="005A032B"/>
    <w:rsid w:val="005A1B92"/>
    <w:rsid w:val="005B0018"/>
    <w:rsid w:val="00602213"/>
    <w:rsid w:val="00616DB8"/>
    <w:rsid w:val="00641758"/>
    <w:rsid w:val="00642EA5"/>
    <w:rsid w:val="006476DC"/>
    <w:rsid w:val="0064771B"/>
    <w:rsid w:val="00661DEB"/>
    <w:rsid w:val="0068516C"/>
    <w:rsid w:val="006D103F"/>
    <w:rsid w:val="006D76BB"/>
    <w:rsid w:val="006F5AFC"/>
    <w:rsid w:val="0070505F"/>
    <w:rsid w:val="00705306"/>
    <w:rsid w:val="00731F77"/>
    <w:rsid w:val="00753928"/>
    <w:rsid w:val="00765295"/>
    <w:rsid w:val="008215F1"/>
    <w:rsid w:val="0083313D"/>
    <w:rsid w:val="008338E1"/>
    <w:rsid w:val="0083580E"/>
    <w:rsid w:val="00835D06"/>
    <w:rsid w:val="00861FF1"/>
    <w:rsid w:val="008811CA"/>
    <w:rsid w:val="00886CB5"/>
    <w:rsid w:val="008D1E43"/>
    <w:rsid w:val="00927DEB"/>
    <w:rsid w:val="0094721B"/>
    <w:rsid w:val="009535F9"/>
    <w:rsid w:val="00987C7E"/>
    <w:rsid w:val="00994EB5"/>
    <w:rsid w:val="009C02AF"/>
    <w:rsid w:val="009E3B3D"/>
    <w:rsid w:val="009E6193"/>
    <w:rsid w:val="009E73B7"/>
    <w:rsid w:val="00A15A29"/>
    <w:rsid w:val="00A4463C"/>
    <w:rsid w:val="00AB1A06"/>
    <w:rsid w:val="00AB1BD2"/>
    <w:rsid w:val="00AB5B15"/>
    <w:rsid w:val="00AC1031"/>
    <w:rsid w:val="00AD78A3"/>
    <w:rsid w:val="00AF4B78"/>
    <w:rsid w:val="00B01382"/>
    <w:rsid w:val="00B83084"/>
    <w:rsid w:val="00BC5225"/>
    <w:rsid w:val="00BC5F4A"/>
    <w:rsid w:val="00C06C9D"/>
    <w:rsid w:val="00C34E34"/>
    <w:rsid w:val="00C72613"/>
    <w:rsid w:val="00C76C69"/>
    <w:rsid w:val="00CA277F"/>
    <w:rsid w:val="00D25CA3"/>
    <w:rsid w:val="00D45CA9"/>
    <w:rsid w:val="00D53DB4"/>
    <w:rsid w:val="00D666AD"/>
    <w:rsid w:val="00D723B2"/>
    <w:rsid w:val="00D92208"/>
    <w:rsid w:val="00DB2F02"/>
    <w:rsid w:val="00DC5D8F"/>
    <w:rsid w:val="00DD1DDC"/>
    <w:rsid w:val="00DD719F"/>
    <w:rsid w:val="00E13878"/>
    <w:rsid w:val="00E34E0B"/>
    <w:rsid w:val="00E752F6"/>
    <w:rsid w:val="00EA641A"/>
    <w:rsid w:val="00EB72D6"/>
    <w:rsid w:val="00EC7D89"/>
    <w:rsid w:val="00ED0DDF"/>
    <w:rsid w:val="00EE4CC3"/>
    <w:rsid w:val="00F67EDD"/>
    <w:rsid w:val="00F75B5C"/>
    <w:rsid w:val="00F9407F"/>
    <w:rsid w:val="00FA0AB8"/>
    <w:rsid w:val="00FF3674"/>
    <w:rsid w:val="00FF614E"/>
    <w:rsid w:val="03FE46A7"/>
    <w:rsid w:val="30AB0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2011-07-14T03:07:00Z</dcterms:created>
  <dc:creator>山东大学研究生招生办公室; imac</dc:creator>
  <dc:description>山东大学2011年硕士研究生入学考试自命题考试大纲</dc:description>
  <cp:keywords>2011年硕士研究生入学考试考试大纲</cp:keywords>
  <cp:lastModifiedBy>Administrator</cp:lastModifiedBy>
  <cp:lastPrinted>2011-07-08T06:59:00Z</cp:lastPrinted>
  <dcterms:modified xsi:type="dcterms:W3CDTF">2021-09-17T06:42:22Z</dcterms:modified>
  <dc:title>全国会计硕士专业学位教育指导委员会秘书处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