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1" w:name="_GoBack"/>
      <w:bookmarkEnd w:id="1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考试科目：国际航运经济学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试卷满分及考试时间:试卷满分为</w:t>
      </w:r>
      <w:r>
        <w:rPr>
          <w:rFonts w:cs="Times New Roman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120</w:t>
      </w:r>
      <w:r>
        <w:rPr>
          <w:rFonts w:hint="eastAsia"/>
          <w:sz w:val="28"/>
          <w:szCs w:val="28"/>
        </w:rPr>
        <w:t>分钟。</w:t>
      </w:r>
    </w:p>
    <w:p>
      <w:pPr>
        <w:pStyle w:val="6"/>
        <w:spacing w:line="400" w:lineRule="exact"/>
        <w:rPr>
          <w:rFonts w:hint="eastAsia" w:ascii="宋体" w:hAnsi="宋体" w:eastAsia="宋体"/>
          <w:b w:val="0"/>
          <w:szCs w:val="28"/>
        </w:rPr>
      </w:pPr>
    </w:p>
    <w:p>
      <w:pPr>
        <w:pStyle w:val="6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一、航运与经济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航运业的形成和发展 全球航运中心与经济中心的变迁 航运业对经济发展的影响机理 航运业对贸易的影响 航运业对区域经济的影响航运业对产业布局的影响 航运业的其他影响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了解古代航海活动对航运业形成的作用。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了解航运业发展的影响因素，这些因素是如何促进航运业的发展的。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理解全球航运中心和经济中心变迁的规律及相互关系。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掌握航运业对经济发展的影响机理。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掌握航运业发展对贸易、区域经济和产业布局的具体影响。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理解直接效应、间接效应和波及效应的含义。</w:t>
      </w:r>
    </w:p>
    <w:p>
      <w:pPr>
        <w:pStyle w:val="7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了解航运业对社会发展和生态环境的影响。</w:t>
      </w: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pStyle w:val="6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二、航运市场</w:t>
      </w:r>
    </w:p>
    <w:p>
      <w:pPr>
        <w:spacing w:after="0" w:line="400" w:lineRule="exact"/>
        <w:ind w:left="0" w:right="0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rPr>
          <w:rFonts w:hint="eastAsia" w:cs="楷体"/>
          <w:sz w:val="28"/>
          <w:szCs w:val="28"/>
        </w:rPr>
      </w:pPr>
      <w:r>
        <w:rPr>
          <w:rFonts w:hint="eastAsia" w:cs="楷体"/>
          <w:sz w:val="28"/>
          <w:szCs w:val="28"/>
        </w:rPr>
        <w:t xml:space="preserve">航运市场的定义 航运市场参与者 航运细分市场 租船交易的方式 租船交易的发展 市场结构的分类和判断 班轮航运市场结构 不定期船市场结构 国外主要航运交易所 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  <w:r>
        <w:rPr>
          <w:rFonts w:cs="楷体"/>
          <w:b/>
          <w:sz w:val="28"/>
          <w:szCs w:val="28"/>
        </w:rPr>
        <w:t xml:space="preserve">  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了解航运市场的含义，了解广义的航运市场和狭义的航运市场的区别和联系。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了解航运市场的参与者构成及其大体情况。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掌握不同分类标准下的航运细分市场组成。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了解租船交易在航运市场中的地位和作用。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掌握租船交易的具体方式，掌握各种租船交易方式之间的异同。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了解租船交易的发展。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了解市场结构的分类和判断方法。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理解班轮市场和不定期船市场结构状况及其原因。</w:t>
      </w:r>
      <w:r>
        <w:rPr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了解国内外主要的航运交易所情况。</w:t>
      </w:r>
    </w:p>
    <w:p>
      <w:pPr>
        <w:pStyle w:val="7"/>
        <w:spacing w:after="0" w:line="400" w:lineRule="exact"/>
        <w:ind w:left="720" w:right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三、航运需求、航运供给和均衡运价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 w:cs="楷体"/>
          <w:sz w:val="28"/>
          <w:szCs w:val="28"/>
        </w:rPr>
        <w:t>航运需求的含义、特点 航运需求的影响因素</w:t>
      </w:r>
      <w:r>
        <w:rPr>
          <w:rFonts w:cs="楷体"/>
          <w:sz w:val="28"/>
          <w:szCs w:val="28"/>
        </w:rPr>
        <w:t xml:space="preserve"> </w:t>
      </w:r>
      <w:r>
        <w:rPr>
          <w:rFonts w:hint="eastAsia" w:cs="楷体"/>
          <w:sz w:val="28"/>
          <w:szCs w:val="28"/>
        </w:rPr>
        <w:t>航运需求定理 航运供给的含义、特点 航运供给的影响因素</w:t>
      </w:r>
      <w:r>
        <w:rPr>
          <w:rFonts w:cs="楷体"/>
          <w:sz w:val="28"/>
          <w:szCs w:val="28"/>
        </w:rPr>
        <w:t xml:space="preserve"> </w:t>
      </w:r>
      <w:r>
        <w:rPr>
          <w:rFonts w:hint="eastAsia" w:cs="楷体"/>
          <w:sz w:val="28"/>
          <w:szCs w:val="28"/>
        </w:rPr>
        <w:t>航运供给定理 均衡运价的含义 均衡运价的形成 航运市场均衡的变动 均衡运价的作用 航运周期定义 航运周期的阶段和特点 航运周期分类 航运周期的新趋势</w:t>
      </w: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理解并掌握航运需求的定义、特点，理解航运供给的定义、特点，了解航运需求与供给的表达形式。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掌握航运需求和航运供给的影响因素，理解这些因素是如何影响航运市场的需求和供给的。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掌握航运需求定理和航运供给定理。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了解均衡运价的含义。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掌握均衡运价的形成过程和均衡运价变动对航运市场的影响。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了解均衡运价的作用。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了解航运周期的定义、阶段、特点和分类。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理解航运周期的成因。</w:t>
      </w:r>
    </w:p>
    <w:p>
      <w:pPr>
        <w:pStyle w:val="7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了解近年来航运周期的状况及发展趋势。</w:t>
      </w:r>
    </w:p>
    <w:p>
      <w:pPr>
        <w:pStyle w:val="7"/>
        <w:spacing w:after="0" w:line="400" w:lineRule="exact"/>
        <w:ind w:left="0" w:right="0" w:firstLine="0" w:firstLineChars="0"/>
        <w:rPr>
          <w:sz w:val="28"/>
          <w:szCs w:val="28"/>
        </w:rPr>
      </w:pPr>
    </w:p>
    <w:p>
      <w:pPr>
        <w:pStyle w:val="6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四、航运成本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航运成本分类 航运成本中的资本成本、经营成本、航次成本的含义及构成 航运成本估算影响航运成本的一般影响因素 航运业的规模经济、航运的外部成本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了解各种航运成本的分类方法。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掌握航运资本成本的含义、构成。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掌握航运经营成本的含义和构成。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掌握航次成本的含义和构成。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掌握航运成本的估算方法。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理解航运成本的影响因素及其各因素对航运成本的影响。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掌握航运业的规模经济含义、分类及其形成原因。</w:t>
      </w:r>
    </w:p>
    <w:p>
      <w:pPr>
        <w:pStyle w:val="7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理解航运业的外部成本情况。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</w:p>
    <w:p>
      <w:pPr>
        <w:pStyle w:val="6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五、航运融资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航运融资涵义与特征 航运融资方式 航运融资决策原则 航运债券融资含义、分类及特征 企业债券融资风险 政府贷款 商业银行贷款 融资租赁 私募股权融资 首次公开募股 股权再融资 航运融资方式比较与选择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了解航运融资的涵义和特征。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了解航运融资方式的分类。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了解航运融资决策的原则。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掌握航运直接债务融资的分类、特征和风险。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了解航运简介债务融资的形式。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掌握政府贷款的含义、特征，理解造船业卖方信贷和买方信贷。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理解船舶抵押贷款融资的程序。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掌握船舶融资租赁的含义、特征和基本模式。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理解航运信托的含义和优势。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理解各种航运权益融资方式。</w:t>
      </w:r>
    </w:p>
    <w:p>
      <w:pPr>
        <w:pStyle w:val="7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掌握航运各种融资方式的比较和选择依据。</w:t>
      </w:r>
    </w:p>
    <w:p>
      <w:pPr>
        <w:pStyle w:val="7"/>
        <w:spacing w:after="0" w:line="400" w:lineRule="exact"/>
        <w:ind w:left="0" w:right="0" w:firstLine="0" w:firstLineChars="0"/>
        <w:rPr>
          <w:rFonts w:hint="eastAsia"/>
          <w:sz w:val="28"/>
          <w:szCs w:val="28"/>
        </w:rPr>
      </w:pPr>
    </w:p>
    <w:p>
      <w:pPr>
        <w:pStyle w:val="6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六、主要货种航运市场经济分析</w:t>
      </w:r>
    </w:p>
    <w:p>
      <w:pPr>
        <w:spacing w:after="0" w:line="400" w:lineRule="exac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干散货及干散货船舶的分类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干散货航运市场的定义、特征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主要干散货航运市场需求分析 干散货航运市场供给的定义、特征、影响因素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干散货船队结构 干散货新造船市场分析干散货航运供给发展趋势 干散货运价 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油轮及其分类 油轮航运市场及其特点 油轮运输需求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油轮运输供给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油轮航运市场运价的影响因素 油轮运价表波罗的海油轮运价指数 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集装箱货物及船舶的分类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集装箱航运市场的特点 集装箱航运需求供给分析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集装箱班轮运输航线及运力配置 集装箱班轮运价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理解干散货的分类，理解并掌握干散货航运市场的定义。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理解干散货航运市场需求的定义、特征，了解干散货航运市场需求的影响因素，了解主要干散货的需求状况。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理解干散货航运市场供给的定义、特征，了解干散货航运市场供给的影响因素。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了解干散货船队结构、新造船市场情况和未来发展趋势。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掌握干散货运价和运价指数。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了解油船船舶的分类、油轮航运市场的含义及其特点。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了解油轮运输需求和供给状况，了解未来油轮供给特点。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掌握油轮航运市场运价的影响因素和油轮运价表的构成、制定依据以及波罗的海油轮运价指数相关知识。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了解集装箱货物及船舶的分类，理解集装箱航运市场特征。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了解集装箱航运市场的需求和供给状况。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掌握集装箱班轮航线和运力配置状况。</w:t>
      </w:r>
    </w:p>
    <w:p>
      <w:pPr>
        <w:pStyle w:val="7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掌握集装箱运价制定方法以及中国出口集装箱运价指数相关知识。</w:t>
      </w: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pStyle w:val="6"/>
        <w:spacing w:line="400" w:lineRule="exact"/>
        <w:rPr>
          <w:rFonts w:hint="eastAsia" w:ascii="宋体" w:hAnsi="宋体" w:eastAsia="宋体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Cs w:val="28"/>
        </w:rPr>
        <w:t>七、航运相关市场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新造船市场与航运市场关系 新造船市场需求及影响因素 新造船市场供给及影响因素 新造船价格 新造船产业集中度 世界主要新造船国家和地区 拆船市场与航运市场关系 船舶拆解量及其影响因素 世界主要拆船国家及拆船中心的转移 二手船市场与航运市场的关系 二手船需求及影响因素 二手船供给及影响因素 二手船价格波动及成因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理解新造船市场、拆船市场及二手船市场与航运市场的关系。</w:t>
      </w:r>
    </w:p>
    <w:p>
      <w:pPr>
        <w:pStyle w:val="7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掌握新造船市场、拆船市场及二手船市场需求、供给及影响因素。</w:t>
      </w:r>
    </w:p>
    <w:p>
      <w:pPr>
        <w:pStyle w:val="7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理解新造船和二手船价格波动的成因。</w:t>
      </w:r>
    </w:p>
    <w:p>
      <w:pPr>
        <w:pStyle w:val="7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理解新造船产业集中度情况。</w:t>
      </w:r>
    </w:p>
    <w:p>
      <w:pPr>
        <w:pStyle w:val="7"/>
        <w:numPr>
          <w:ilvl w:val="0"/>
          <w:numId w:val="7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了解世界主要造船国、世界主要拆船国。</w:t>
      </w: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八、航运业管制</w:t>
      </w:r>
    </w:p>
    <w:p>
      <w:pPr>
        <w:spacing w:after="0" w:line="400" w:lineRule="exac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航运业管制的原因 航运业管制的目标与含义 航运业管制主体 航运业管制内容 航运业管制的发展</w:t>
      </w: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理解航运业管制的原因。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掌握航运业管制的目标与含义。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了解航运管制的主体构成。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掌握市场进入管制、运价管制、竞争管制的内容。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了解政府扶持航运业发展的政策和措施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了解航运业的社会管制。</w:t>
      </w:r>
    </w:p>
    <w:p>
      <w:pPr>
        <w:pStyle w:val="7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了解航运业管制的发展趋势。</w:t>
      </w:r>
    </w:p>
    <w:p>
      <w:pPr>
        <w:pStyle w:val="7"/>
        <w:spacing w:after="0" w:line="400" w:lineRule="exact"/>
        <w:ind w:left="720" w:right="0" w:firstLine="0" w:firstLineChars="0"/>
        <w:rPr>
          <w:sz w:val="28"/>
          <w:szCs w:val="28"/>
        </w:rPr>
      </w:pPr>
    </w:p>
    <w:p>
      <w:pPr>
        <w:numPr>
          <w:ilvl w:val="0"/>
          <w:numId w:val="9"/>
        </w:num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line="400" w:lineRule="exact"/>
        <w:ind w:left="425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《国际航运经济学》吕靖 李晶 宫晓婞 编著 人民交通出版社2015年</w:t>
      </w:r>
    </w:p>
    <w:p>
      <w:pPr>
        <w:spacing w:line="400" w:lineRule="exact"/>
        <w:ind w:left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027"/>
    <w:multiLevelType w:val="multilevel"/>
    <w:tmpl w:val="1920202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F72F11"/>
    <w:multiLevelType w:val="multilevel"/>
    <w:tmpl w:val="1EF72F11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CA27DA3"/>
    <w:multiLevelType w:val="multilevel"/>
    <w:tmpl w:val="2CA27DA3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CE1E1F"/>
    <w:multiLevelType w:val="multilevel"/>
    <w:tmpl w:val="33CE1E1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B9007C4"/>
    <w:multiLevelType w:val="multilevel"/>
    <w:tmpl w:val="4B9007C4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CAD284F"/>
    <w:multiLevelType w:val="multilevel"/>
    <w:tmpl w:val="5CAD284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004BFF"/>
    <w:multiLevelType w:val="multilevel"/>
    <w:tmpl w:val="5F004BF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A756AA4"/>
    <w:multiLevelType w:val="multilevel"/>
    <w:tmpl w:val="6A756AA4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DA14E1F"/>
    <w:multiLevelType w:val="multilevel"/>
    <w:tmpl w:val="7DA14E1F"/>
    <w:lvl w:ilvl="0" w:tentative="0">
      <w:start w:val="1"/>
      <w:numFmt w:val="bullet"/>
      <w:lvlText w:val=""/>
      <w:lvlJc w:val="left"/>
      <w:pPr>
        <w:tabs>
          <w:tab w:val="left" w:pos="843"/>
        </w:tabs>
        <w:ind w:left="84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3"/>
        </w:tabs>
        <w:ind w:left="126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3"/>
        </w:tabs>
        <w:ind w:left="168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3"/>
        </w:tabs>
        <w:ind w:left="210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3"/>
        </w:tabs>
        <w:ind w:left="252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3"/>
        </w:tabs>
        <w:ind w:left="294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3"/>
        </w:tabs>
        <w:ind w:left="336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3"/>
        </w:tabs>
        <w:ind w:left="378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3"/>
        </w:tabs>
        <w:ind w:left="4203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08"/>
    <w:rsid w:val="00072F28"/>
    <w:rsid w:val="000967AA"/>
    <w:rsid w:val="000C2D24"/>
    <w:rsid w:val="000D739E"/>
    <w:rsid w:val="00120DCE"/>
    <w:rsid w:val="001236B3"/>
    <w:rsid w:val="001A16C2"/>
    <w:rsid w:val="001A18DC"/>
    <w:rsid w:val="001A1ED3"/>
    <w:rsid w:val="001A5C29"/>
    <w:rsid w:val="001B7651"/>
    <w:rsid w:val="00232573"/>
    <w:rsid w:val="002368F1"/>
    <w:rsid w:val="00244007"/>
    <w:rsid w:val="002511A9"/>
    <w:rsid w:val="0027615E"/>
    <w:rsid w:val="0029307E"/>
    <w:rsid w:val="002A49FD"/>
    <w:rsid w:val="002C09A0"/>
    <w:rsid w:val="002E30CF"/>
    <w:rsid w:val="00312A63"/>
    <w:rsid w:val="003B3421"/>
    <w:rsid w:val="003C6275"/>
    <w:rsid w:val="003C7FF3"/>
    <w:rsid w:val="003E7A5C"/>
    <w:rsid w:val="0040655A"/>
    <w:rsid w:val="00463EC3"/>
    <w:rsid w:val="0046467D"/>
    <w:rsid w:val="004A0506"/>
    <w:rsid w:val="004D6945"/>
    <w:rsid w:val="004F1561"/>
    <w:rsid w:val="00502312"/>
    <w:rsid w:val="00515689"/>
    <w:rsid w:val="00556CE4"/>
    <w:rsid w:val="00562838"/>
    <w:rsid w:val="00602D88"/>
    <w:rsid w:val="00617008"/>
    <w:rsid w:val="00641AA9"/>
    <w:rsid w:val="006552EE"/>
    <w:rsid w:val="00666A0D"/>
    <w:rsid w:val="006C162B"/>
    <w:rsid w:val="006E2ECA"/>
    <w:rsid w:val="007067EB"/>
    <w:rsid w:val="00740A22"/>
    <w:rsid w:val="00746CBC"/>
    <w:rsid w:val="007A70D0"/>
    <w:rsid w:val="007B4C59"/>
    <w:rsid w:val="007D4A89"/>
    <w:rsid w:val="007E4640"/>
    <w:rsid w:val="008E0351"/>
    <w:rsid w:val="00904F81"/>
    <w:rsid w:val="0092002D"/>
    <w:rsid w:val="00983E68"/>
    <w:rsid w:val="009A77F5"/>
    <w:rsid w:val="00A040F4"/>
    <w:rsid w:val="00A14423"/>
    <w:rsid w:val="00A46699"/>
    <w:rsid w:val="00A5600E"/>
    <w:rsid w:val="00AA5BFB"/>
    <w:rsid w:val="00AC6ABC"/>
    <w:rsid w:val="00AD1B12"/>
    <w:rsid w:val="00AF39B7"/>
    <w:rsid w:val="00B006D4"/>
    <w:rsid w:val="00B04EFF"/>
    <w:rsid w:val="00B158DF"/>
    <w:rsid w:val="00B241A4"/>
    <w:rsid w:val="00B5553B"/>
    <w:rsid w:val="00B81D87"/>
    <w:rsid w:val="00BA41D8"/>
    <w:rsid w:val="00BC1C64"/>
    <w:rsid w:val="00BD39CB"/>
    <w:rsid w:val="00C003F3"/>
    <w:rsid w:val="00C15018"/>
    <w:rsid w:val="00C25080"/>
    <w:rsid w:val="00C6506C"/>
    <w:rsid w:val="00C8488E"/>
    <w:rsid w:val="00D2718A"/>
    <w:rsid w:val="00D6718E"/>
    <w:rsid w:val="00D853BD"/>
    <w:rsid w:val="00DA2909"/>
    <w:rsid w:val="00DA6C67"/>
    <w:rsid w:val="00DB541D"/>
    <w:rsid w:val="00E20E5D"/>
    <w:rsid w:val="00E30109"/>
    <w:rsid w:val="00E47F9F"/>
    <w:rsid w:val="00E628D1"/>
    <w:rsid w:val="00E66B79"/>
    <w:rsid w:val="00E751B5"/>
    <w:rsid w:val="00E953BA"/>
    <w:rsid w:val="00EF1074"/>
    <w:rsid w:val="00F37EFC"/>
    <w:rsid w:val="00FA516E"/>
    <w:rsid w:val="02EB6D4C"/>
    <w:rsid w:val="4D583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/>
    </w:pPr>
    <w:rPr>
      <w:rFonts w:ascii="Calibri" w:hAnsi="Calibri" w:cs="Times New Roman"/>
      <w:color w:val="auto"/>
      <w:kern w:val="0"/>
      <w:sz w:val="18"/>
      <w:szCs w:val="18"/>
    </w:rPr>
  </w:style>
  <w:style w:type="paragraph" w:styleId="3">
    <w:name w:val="header"/>
    <w:basedOn w:val="1"/>
    <w:link w:val="8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ind w:left="0" w:right="0"/>
      <w:jc w:val="center"/>
    </w:pPr>
    <w:rPr>
      <w:rFonts w:ascii="Calibri" w:hAnsi="Calibri" w:cs="Times New Roman"/>
      <w:color w:val="auto"/>
      <w:kern w:val="0"/>
      <w:sz w:val="18"/>
      <w:szCs w:val="18"/>
    </w:rPr>
  </w:style>
  <w:style w:type="paragraph" w:customStyle="1" w:styleId="6">
    <w:name w:val="样式1"/>
    <w:basedOn w:val="1"/>
    <w:link w:val="10"/>
    <w:uiPriority w:val="0"/>
    <w:pPr>
      <w:spacing w:after="0" w:line="240" w:lineRule="atLeast"/>
      <w:ind w:left="0" w:right="0"/>
    </w:pPr>
    <w:rPr>
      <w:rFonts w:ascii="微软雅黑" w:hAnsi="微软雅黑" w:eastAsia="微软雅黑" w:cs="Times New Roman"/>
      <w:b/>
      <w:kern w:val="0"/>
      <w:sz w:val="24"/>
      <w:szCs w:val="24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  <w:style w:type="character" w:customStyle="1" w:styleId="8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10">
    <w:name w:val="样式1 Char"/>
    <w:link w:val="6"/>
    <w:locked/>
    <w:uiPriority w:val="0"/>
    <w:rPr>
      <w:rFonts w:ascii="微软雅黑" w:hAnsi="微软雅黑" w:eastAsia="微软雅黑" w:cs="宋体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387</Words>
  <Characters>2209</Characters>
  <Lines>18</Lines>
  <Paragraphs>5</Paragraphs>
  <TotalTime>0</TotalTime>
  <ScaleCrop>false</ScaleCrop>
  <LinksUpToDate>false</LinksUpToDate>
  <CharactersWithSpaces>2591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2015-09-09T01:50:00Z</dcterms:created>
  <dc:creator>China</dc:creator>
  <cp:lastModifiedBy>Administrator</cp:lastModifiedBy>
  <dcterms:modified xsi:type="dcterms:W3CDTF">2021-09-17T02:07:17Z</dcterms:modified>
  <dc:title>2015年硕士研究生入学统一考试国际航运经济与市场考试大纲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