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contextualSpacing/>
        <w:jc w:val="center"/>
        <w:rPr>
          <w:rFonts w:hint="eastAsia"/>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rPr>
          <w:rFonts w:hint="eastAsia"/>
          <w:color w:val="auto"/>
          <w:sz w:val="28"/>
          <w:szCs w:val="28"/>
        </w:rPr>
      </w:pPr>
    </w:p>
    <w:p>
      <w:pPr>
        <w:spacing w:after="0" w:line="0" w:lineRule="atLeast"/>
        <w:ind w:left="0" w:right="0"/>
        <w:contextualSpacing/>
        <w:rPr>
          <w:rFonts w:hint="eastAsia"/>
          <w:color w:val="auto"/>
          <w:sz w:val="28"/>
          <w:szCs w:val="28"/>
        </w:rPr>
      </w:pPr>
      <w:r>
        <w:rPr>
          <w:rFonts w:hint="eastAsia"/>
          <w:color w:val="auto"/>
          <w:sz w:val="28"/>
          <w:szCs w:val="28"/>
        </w:rPr>
        <w:t>考试科目：量子物理</w:t>
      </w:r>
    </w:p>
    <w:p>
      <w:pPr>
        <w:spacing w:after="0" w:line="0" w:lineRule="atLeast"/>
        <w:ind w:left="0" w:right="0"/>
        <w:contextualSpacing/>
        <w:rPr>
          <w:rFonts w:hint="eastAsia"/>
          <w:color w:val="auto"/>
          <w:sz w:val="28"/>
          <w:szCs w:val="28"/>
        </w:rPr>
      </w:pPr>
      <w:r>
        <w:rPr>
          <w:rFonts w:hint="eastAsia"/>
          <w:color w:val="auto"/>
          <w:sz w:val="28"/>
          <w:szCs w:val="28"/>
        </w:rPr>
        <w:t>试卷满分及考试时间：试卷满分为100分，考试时间为180分钟。</w:t>
      </w:r>
    </w:p>
    <w:p>
      <w:pPr>
        <w:spacing w:after="0" w:line="0" w:lineRule="atLeast"/>
        <w:ind w:left="0" w:right="0"/>
        <w:contextualSpacing/>
        <w:rPr>
          <w:rFonts w:hint="eastAsia"/>
          <w:color w:val="auto"/>
          <w:sz w:val="28"/>
          <w:szCs w:val="28"/>
        </w:rPr>
      </w:pPr>
      <w:r>
        <w:rPr>
          <w:rFonts w:hint="eastAsia"/>
          <w:color w:val="auto"/>
          <w:sz w:val="28"/>
          <w:szCs w:val="28"/>
        </w:rPr>
        <w:t>试卷内容结构：波粒二象性20％，波函数与薛定谔方程20%，态矢量与力学量算及表象变换40％，原子中的电子20％</w:t>
      </w:r>
    </w:p>
    <w:p>
      <w:pPr>
        <w:spacing w:after="0" w:line="0" w:lineRule="atLeast"/>
        <w:ind w:left="0" w:right="0"/>
        <w:contextualSpacing/>
        <w:rPr>
          <w:rFonts w:hint="eastAsia"/>
          <w:sz w:val="28"/>
          <w:szCs w:val="28"/>
        </w:rPr>
      </w:pPr>
    </w:p>
    <w:p>
      <w:pPr>
        <w:pStyle w:val="10"/>
        <w:rPr>
          <w:rFonts w:hint="eastAsia" w:ascii="宋体" w:hAnsi="宋体" w:eastAsia="宋体"/>
          <w:szCs w:val="28"/>
        </w:rPr>
      </w:pPr>
      <w:r>
        <w:rPr>
          <w:rFonts w:hint="eastAsia" w:ascii="宋体" w:hAnsi="宋体" w:eastAsia="宋体"/>
          <w:szCs w:val="28"/>
        </w:rPr>
        <w:t>一、波粒二象性</w:t>
      </w:r>
    </w:p>
    <w:p>
      <w:pPr>
        <w:pStyle w:val="3"/>
        <w:ind w:left="0" w:firstLine="0"/>
        <w:rPr>
          <w:rFonts w:hint="eastAsia" w:ascii="宋体" w:hAnsi="宋体" w:cs="宋体"/>
          <w:color w:val="000000"/>
          <w:sz w:val="28"/>
          <w:szCs w:val="28"/>
        </w:rPr>
      </w:pPr>
      <w:r>
        <w:rPr>
          <w:rFonts w:hint="eastAsia" w:ascii="宋体" w:hAnsi="宋体" w:cs="宋体"/>
          <w:b/>
          <w:sz w:val="28"/>
          <w:szCs w:val="28"/>
        </w:rPr>
        <w:t>考试内容</w:t>
      </w:r>
    </w:p>
    <w:p>
      <w:pPr>
        <w:pStyle w:val="3"/>
        <w:ind w:left="0" w:firstLine="0"/>
        <w:rPr>
          <w:rFonts w:hint="eastAsia" w:ascii="宋体" w:hAnsi="宋体" w:cs="宋体"/>
          <w:sz w:val="28"/>
          <w:szCs w:val="28"/>
        </w:rPr>
      </w:pPr>
      <w:r>
        <w:rPr>
          <w:rFonts w:hint="eastAsia" w:ascii="宋体" w:hAnsi="宋体" w:cs="宋体"/>
          <w:color w:val="000000"/>
          <w:sz w:val="28"/>
          <w:szCs w:val="28"/>
        </w:rPr>
        <w:t>黑体辐射和普朗克量子假说  光电效应和爱因斯坦光量子假说   德布罗意物质波假说   概率波   概率幅   量子化   戴维逊-革末实验   不确定关系   康普顿散射的应用   光电效应和康普顿效应的实验规律   光电效应的光子理论解释   康普顿效应的光子理论解释   电子衍射实验   描述物质波动性的物理量（波长、频率）和粒子性物理量（动量、能量）间的关系   能量量子化的波动观点解释</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1．掌握黑体辐射和普朗克量子假说、光电效应和爱因斯坦光量子假说、德布罗意物质波假说、概率波、概率幅等概念。</w:t>
      </w:r>
    </w:p>
    <w:p>
      <w:pPr>
        <w:spacing w:after="0" w:line="0" w:lineRule="atLeast"/>
        <w:ind w:left="0" w:right="0"/>
        <w:contextualSpacing/>
        <w:rPr>
          <w:rFonts w:hint="eastAsia"/>
          <w:sz w:val="28"/>
          <w:szCs w:val="28"/>
        </w:rPr>
      </w:pPr>
      <w:r>
        <w:rPr>
          <w:rFonts w:hint="eastAsia"/>
          <w:sz w:val="28"/>
          <w:szCs w:val="28"/>
        </w:rPr>
        <w:t>2．理解物质波粒二象性、量子化、戴维逊-革末实验的概念。</w:t>
      </w:r>
    </w:p>
    <w:p>
      <w:pPr>
        <w:spacing w:after="0" w:line="0" w:lineRule="atLeast"/>
        <w:ind w:left="0" w:right="0"/>
        <w:contextualSpacing/>
        <w:rPr>
          <w:rFonts w:hint="eastAsia"/>
          <w:sz w:val="28"/>
          <w:szCs w:val="28"/>
        </w:rPr>
      </w:pPr>
      <w:r>
        <w:rPr>
          <w:rFonts w:hint="eastAsia"/>
          <w:sz w:val="28"/>
          <w:szCs w:val="28"/>
        </w:rPr>
        <w:t>3．掌握不确定关系的原理。</w:t>
      </w:r>
    </w:p>
    <w:p>
      <w:pPr>
        <w:spacing w:after="0" w:line="0" w:lineRule="atLeast"/>
        <w:ind w:left="0" w:right="0"/>
        <w:contextualSpacing/>
        <w:rPr>
          <w:rFonts w:hint="eastAsia"/>
          <w:sz w:val="28"/>
          <w:szCs w:val="28"/>
        </w:rPr>
      </w:pPr>
      <w:r>
        <w:rPr>
          <w:rFonts w:hint="eastAsia"/>
          <w:sz w:val="28"/>
          <w:szCs w:val="28"/>
        </w:rPr>
        <w:t>4．理解德布罗意的物质波假设原理。</w:t>
      </w:r>
    </w:p>
    <w:p>
      <w:pPr>
        <w:spacing w:after="0" w:line="0" w:lineRule="atLeast"/>
        <w:ind w:left="0" w:right="0"/>
        <w:contextualSpacing/>
        <w:rPr>
          <w:rFonts w:hint="eastAsia"/>
          <w:sz w:val="28"/>
          <w:szCs w:val="28"/>
        </w:rPr>
      </w:pPr>
      <w:r>
        <w:rPr>
          <w:rFonts w:hint="eastAsia"/>
          <w:sz w:val="28"/>
          <w:szCs w:val="28"/>
        </w:rPr>
        <w:t>5．掌握光电效应和康普顿效应的实验规律，会用爱因斯坦的光子理论对光电效应及康普顿效应进行解释。</w:t>
      </w:r>
    </w:p>
    <w:p>
      <w:pPr>
        <w:pStyle w:val="3"/>
        <w:ind w:left="0" w:firstLine="0"/>
        <w:rPr>
          <w:rFonts w:hint="eastAsia" w:ascii="宋体" w:hAnsi="宋体" w:cs="宋体"/>
          <w:color w:val="000000"/>
          <w:sz w:val="28"/>
          <w:szCs w:val="28"/>
        </w:rPr>
      </w:pPr>
      <w:r>
        <w:rPr>
          <w:rFonts w:hint="eastAsia" w:ascii="宋体" w:hAnsi="宋体" w:cs="宋体"/>
          <w:sz w:val="28"/>
          <w:szCs w:val="28"/>
        </w:rPr>
        <w:t>6．理解</w:t>
      </w:r>
      <w:r>
        <w:rPr>
          <w:rFonts w:hint="eastAsia" w:ascii="宋体" w:hAnsi="宋体" w:cs="宋体"/>
          <w:color w:val="000000"/>
          <w:sz w:val="28"/>
          <w:szCs w:val="28"/>
        </w:rPr>
        <w:t>电子衍射实验</w:t>
      </w:r>
      <w:r>
        <w:rPr>
          <w:rFonts w:hint="eastAsia" w:ascii="宋体" w:hAnsi="宋体" w:cs="宋体"/>
          <w:sz w:val="28"/>
          <w:szCs w:val="28"/>
        </w:rPr>
        <w:t>的实验规律，理解</w:t>
      </w:r>
      <w:r>
        <w:rPr>
          <w:rFonts w:hint="eastAsia" w:ascii="宋体" w:hAnsi="宋体" w:cs="宋体"/>
          <w:color w:val="000000"/>
          <w:sz w:val="28"/>
          <w:szCs w:val="28"/>
        </w:rPr>
        <w:t>描述物质波动性的物理量（波长、频率）和粒子性物理量（动量、能量）间的关系，会应用波动观点解释能量量子化。</w:t>
      </w:r>
    </w:p>
    <w:p>
      <w:pPr>
        <w:spacing w:after="0" w:line="0" w:lineRule="atLeast"/>
        <w:ind w:left="0" w:right="0"/>
        <w:contextualSpacing/>
        <w:rPr>
          <w:rFonts w:hint="eastAsia"/>
          <w:sz w:val="28"/>
          <w:szCs w:val="28"/>
        </w:rPr>
      </w:pPr>
    </w:p>
    <w:p>
      <w:pPr>
        <w:pStyle w:val="10"/>
        <w:rPr>
          <w:rFonts w:hint="eastAsia" w:ascii="宋体" w:hAnsi="宋体" w:eastAsia="宋体"/>
          <w:szCs w:val="28"/>
        </w:rPr>
      </w:pPr>
      <w:r>
        <w:rPr>
          <w:rFonts w:hint="eastAsia" w:ascii="宋体" w:hAnsi="宋体" w:eastAsia="宋体"/>
          <w:szCs w:val="28"/>
        </w:rPr>
        <w:t>二、波函数与薛定谔方程</w:t>
      </w:r>
    </w:p>
    <w:p>
      <w:pPr>
        <w:spacing w:after="0" w:line="0" w:lineRule="atLeast"/>
        <w:ind w:left="0" w:right="0"/>
        <w:contextualSpacing/>
        <w:rPr>
          <w:rFonts w:hint="eastAsia"/>
          <w:b/>
          <w:sz w:val="28"/>
          <w:szCs w:val="28"/>
        </w:rPr>
      </w:pPr>
      <w:r>
        <w:rPr>
          <w:rFonts w:hint="eastAsia"/>
          <w:b/>
          <w:sz w:val="28"/>
          <w:szCs w:val="28"/>
        </w:rPr>
        <w:t>考试内容</w:t>
      </w:r>
    </w:p>
    <w:p>
      <w:pPr>
        <w:pStyle w:val="3"/>
        <w:ind w:left="0" w:firstLine="0"/>
        <w:rPr>
          <w:rFonts w:hint="eastAsia" w:ascii="宋体" w:hAnsi="宋体" w:cs="宋体"/>
          <w:b/>
          <w:sz w:val="28"/>
          <w:szCs w:val="28"/>
        </w:rPr>
      </w:pPr>
      <w:r>
        <w:rPr>
          <w:rFonts w:hint="eastAsia" w:ascii="宋体" w:hAnsi="宋体" w:cs="宋体"/>
          <w:color w:val="000000"/>
          <w:sz w:val="28"/>
          <w:szCs w:val="28"/>
        </w:rPr>
        <w:t>波函数及其概率解释  薛定谔方程   一维定态薛定谔方程   一维无限深势阱 谐振子   微观物质的描述方式和波函数的统计意义   一维势垒   势垒穿透   隧道效应   扫描隧道显微镜</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1．掌握波函数概念及其概率解释，掌握无限深势阱、势垒穿透和谐振子的概念。</w:t>
      </w:r>
    </w:p>
    <w:p>
      <w:pPr>
        <w:spacing w:after="0" w:line="0" w:lineRule="atLeast"/>
        <w:ind w:left="0" w:right="0"/>
        <w:contextualSpacing/>
        <w:rPr>
          <w:rFonts w:hint="eastAsia"/>
          <w:sz w:val="28"/>
          <w:szCs w:val="28"/>
        </w:rPr>
      </w:pPr>
      <w:r>
        <w:rPr>
          <w:rFonts w:hint="eastAsia"/>
          <w:sz w:val="28"/>
          <w:szCs w:val="28"/>
        </w:rPr>
        <w:t>2．掌握薛定谔方程和一维定态薛定谔方程及其应用。</w:t>
      </w:r>
    </w:p>
    <w:p>
      <w:pPr>
        <w:spacing w:after="0" w:line="0" w:lineRule="atLeast"/>
        <w:ind w:left="0" w:right="0"/>
        <w:contextualSpacing/>
        <w:rPr>
          <w:rFonts w:hint="eastAsia"/>
          <w:sz w:val="28"/>
          <w:szCs w:val="28"/>
        </w:rPr>
      </w:pPr>
      <w:r>
        <w:rPr>
          <w:rFonts w:hint="eastAsia"/>
          <w:sz w:val="28"/>
          <w:szCs w:val="28"/>
        </w:rPr>
        <w:t>3．会用薛定谔方程分析一维无限深势阱中粒子和一维谐振子的波动性及能量。</w:t>
      </w:r>
    </w:p>
    <w:p>
      <w:pPr>
        <w:spacing w:after="0" w:line="0" w:lineRule="atLeast"/>
        <w:ind w:left="0" w:right="0"/>
        <w:contextualSpacing/>
        <w:rPr>
          <w:rFonts w:hint="eastAsia"/>
          <w:sz w:val="28"/>
          <w:szCs w:val="28"/>
        </w:rPr>
      </w:pPr>
      <w:r>
        <w:rPr>
          <w:rFonts w:hint="eastAsia"/>
          <w:sz w:val="28"/>
          <w:szCs w:val="28"/>
        </w:rPr>
        <w:t>4．理解微观物质的描述方式和波函数的统计意义，理解量子力学状态描述的手段。</w:t>
      </w:r>
    </w:p>
    <w:p>
      <w:pPr>
        <w:spacing w:after="0" w:line="0" w:lineRule="atLeast"/>
        <w:ind w:left="0" w:right="0"/>
        <w:contextualSpacing/>
        <w:rPr>
          <w:rFonts w:hint="eastAsia"/>
          <w:sz w:val="28"/>
          <w:szCs w:val="28"/>
        </w:rPr>
      </w:pPr>
      <w:r>
        <w:rPr>
          <w:rFonts w:hint="eastAsia"/>
          <w:sz w:val="28"/>
          <w:szCs w:val="28"/>
        </w:rPr>
        <w:t>5．了解一维势垒、隧道效应、电子隧道显微镜的原理。</w:t>
      </w:r>
    </w:p>
    <w:p>
      <w:pPr>
        <w:pStyle w:val="10"/>
        <w:rPr>
          <w:rFonts w:hint="eastAsia" w:ascii="宋体" w:hAnsi="宋体" w:eastAsia="宋体"/>
          <w:szCs w:val="28"/>
        </w:rPr>
      </w:pPr>
      <w:r>
        <w:rPr>
          <w:rFonts w:hint="eastAsia" w:ascii="宋体" w:hAnsi="宋体" w:eastAsia="宋体"/>
          <w:szCs w:val="28"/>
        </w:rPr>
        <w:t>三、</w:t>
      </w:r>
      <w:r>
        <w:rPr>
          <w:rFonts w:hint="eastAsia" w:ascii="宋体" w:hAnsi="宋体" w:eastAsia="宋体"/>
          <w:color w:val="auto"/>
          <w:szCs w:val="28"/>
        </w:rPr>
        <w:t>态矢量与力学量算及表象变换</w:t>
      </w:r>
    </w:p>
    <w:p>
      <w:pPr>
        <w:spacing w:after="0" w:line="0" w:lineRule="atLeast"/>
        <w:ind w:left="0" w:right="0"/>
        <w:contextualSpacing/>
        <w:rPr>
          <w:rFonts w:hint="eastAsia"/>
          <w:b/>
          <w:sz w:val="28"/>
          <w:szCs w:val="28"/>
        </w:rPr>
      </w:pPr>
      <w:r>
        <w:rPr>
          <w:rFonts w:hint="eastAsia"/>
          <w:b/>
          <w:sz w:val="28"/>
          <w:szCs w:val="28"/>
        </w:rPr>
        <w:t>考试内容</w:t>
      </w:r>
    </w:p>
    <w:p>
      <w:pPr>
        <w:pStyle w:val="3"/>
        <w:ind w:left="0" w:firstLine="0"/>
        <w:rPr>
          <w:rFonts w:ascii="宋体" w:hAnsi="宋体" w:cs="宋体"/>
          <w:b/>
          <w:sz w:val="28"/>
          <w:szCs w:val="28"/>
        </w:rPr>
      </w:pPr>
      <w:r>
        <w:rPr>
          <w:rFonts w:hint="eastAsia" w:ascii="宋体" w:hAnsi="宋体" w:cs="宋体"/>
          <w:color w:val="000000"/>
          <w:sz w:val="28"/>
          <w:szCs w:val="28"/>
        </w:rPr>
        <w:t>线性算符及其运算法则  厄米算符   量子力学基本对易关系   厄米算符的本征值和本征函数   态矢量及其表象变换   力学量的矩阵表示及其表象变换   量子力学的矩阵形式   量子力学的狄拉克描述   对称性及守恒定律  量子力学的三种绘景</w:t>
      </w:r>
    </w:p>
    <w:p>
      <w:pPr>
        <w:spacing w:after="0" w:line="0" w:lineRule="atLeast"/>
        <w:ind w:left="0" w:right="0"/>
        <w:contextualSpacing/>
        <w:rPr>
          <w:rFonts w:hint="eastAsia"/>
          <w:b/>
          <w:sz w:val="28"/>
          <w:szCs w:val="28"/>
        </w:rPr>
      </w:pPr>
      <w:r>
        <w:rPr>
          <w:rFonts w:hint="eastAsia"/>
          <w:b/>
          <w:sz w:val="28"/>
          <w:szCs w:val="28"/>
        </w:rPr>
        <w:t>考试要求</w:t>
      </w:r>
    </w:p>
    <w:p>
      <w:pPr>
        <w:numPr>
          <w:ilvl w:val="0"/>
          <w:numId w:val="1"/>
        </w:numPr>
        <w:spacing w:after="0" w:line="0" w:lineRule="atLeast"/>
        <w:ind w:left="0" w:right="0"/>
        <w:contextualSpacing/>
        <w:rPr>
          <w:rFonts w:hint="eastAsia"/>
          <w:sz w:val="28"/>
          <w:szCs w:val="28"/>
        </w:rPr>
      </w:pPr>
      <w:r>
        <w:rPr>
          <w:rFonts w:hint="eastAsia"/>
          <w:sz w:val="28"/>
          <w:szCs w:val="28"/>
        </w:rPr>
        <w:t>掌握力学量算符及其基本对易关系。</w:t>
      </w:r>
    </w:p>
    <w:p>
      <w:pPr>
        <w:numPr>
          <w:ilvl w:val="0"/>
          <w:numId w:val="1"/>
        </w:numPr>
        <w:spacing w:after="0" w:line="0" w:lineRule="atLeast"/>
        <w:ind w:left="0" w:right="0"/>
        <w:contextualSpacing/>
        <w:rPr>
          <w:rFonts w:hint="eastAsia"/>
          <w:sz w:val="28"/>
          <w:szCs w:val="28"/>
        </w:rPr>
      </w:pPr>
      <w:r>
        <w:rPr>
          <w:rFonts w:hint="eastAsia"/>
          <w:sz w:val="28"/>
          <w:szCs w:val="28"/>
        </w:rPr>
        <w:t>掌握厄米算符的本征方程及其基本解法。</w:t>
      </w:r>
    </w:p>
    <w:p>
      <w:pPr>
        <w:numPr>
          <w:ilvl w:val="0"/>
          <w:numId w:val="1"/>
        </w:numPr>
        <w:spacing w:after="0" w:line="0" w:lineRule="atLeast"/>
        <w:ind w:left="0" w:right="0"/>
        <w:contextualSpacing/>
        <w:rPr>
          <w:rFonts w:hint="eastAsia"/>
          <w:sz w:val="28"/>
          <w:szCs w:val="28"/>
        </w:rPr>
      </w:pPr>
      <w:r>
        <w:rPr>
          <w:rFonts w:hint="eastAsia"/>
          <w:sz w:val="28"/>
          <w:szCs w:val="28"/>
        </w:rPr>
        <w:t>掌握表象变换理论。</w:t>
      </w:r>
    </w:p>
    <w:p>
      <w:pPr>
        <w:numPr>
          <w:ilvl w:val="0"/>
          <w:numId w:val="1"/>
        </w:numPr>
        <w:spacing w:after="0" w:line="0" w:lineRule="atLeast"/>
        <w:ind w:left="0" w:right="0"/>
        <w:contextualSpacing/>
        <w:rPr>
          <w:rFonts w:hint="eastAsia"/>
          <w:sz w:val="28"/>
          <w:szCs w:val="28"/>
        </w:rPr>
      </w:pPr>
      <w:r>
        <w:rPr>
          <w:rFonts w:hint="eastAsia"/>
          <w:sz w:val="28"/>
          <w:szCs w:val="28"/>
        </w:rPr>
        <w:t>理解并掌握量子力学中对称性及守恒定律之间的关系。</w:t>
      </w:r>
    </w:p>
    <w:p>
      <w:pPr>
        <w:numPr>
          <w:ilvl w:val="0"/>
          <w:numId w:val="1"/>
        </w:numPr>
        <w:spacing w:after="0" w:line="0" w:lineRule="atLeast"/>
        <w:ind w:left="0" w:right="0"/>
        <w:contextualSpacing/>
        <w:rPr>
          <w:rFonts w:hint="eastAsia"/>
          <w:sz w:val="28"/>
          <w:szCs w:val="28"/>
        </w:rPr>
      </w:pPr>
      <w:r>
        <w:rPr>
          <w:rFonts w:hint="eastAsia"/>
          <w:sz w:val="28"/>
          <w:szCs w:val="28"/>
        </w:rPr>
        <w:t>了解量子力学的三种绘景之间的本质关系。</w:t>
      </w:r>
    </w:p>
    <w:p>
      <w:pPr>
        <w:spacing w:after="0" w:line="0" w:lineRule="atLeast"/>
        <w:ind w:left="0" w:right="0"/>
        <w:contextualSpacing/>
        <w:rPr>
          <w:rFonts w:hint="eastAsia"/>
          <w:sz w:val="28"/>
          <w:szCs w:val="28"/>
        </w:rPr>
      </w:pPr>
    </w:p>
    <w:p>
      <w:pPr>
        <w:pStyle w:val="10"/>
        <w:rPr>
          <w:rFonts w:hint="eastAsia" w:ascii="宋体" w:hAnsi="宋体" w:eastAsia="宋体"/>
          <w:szCs w:val="28"/>
        </w:rPr>
      </w:pPr>
      <w:r>
        <w:rPr>
          <w:rFonts w:hint="eastAsia" w:ascii="宋体" w:hAnsi="宋体" w:eastAsia="宋体"/>
          <w:szCs w:val="28"/>
        </w:rPr>
        <w:t>四、原子中的电子</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sz w:val="28"/>
          <w:szCs w:val="28"/>
        </w:rPr>
        <w:t>氢原子   自旋   原子的壳层结构   角动量量子化及空间量子化   斯忒恩-盖拉赫实验   微观粒子的自旋   描述原子中电子运动状态的四个量子数   元素周期表   泡利不相容原理   氢原子光谱的实验规律   玻尔氢原子理论   电子的自旋与自旋轨道的耦合   玻尔氢原子理论的意义和局限性</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1．掌握氢原子、自旋、原子的壳层结构的概念。</w:t>
      </w:r>
    </w:p>
    <w:p>
      <w:pPr>
        <w:spacing w:after="0" w:line="0" w:lineRule="atLeast"/>
        <w:ind w:left="0" w:right="0"/>
        <w:contextualSpacing/>
        <w:rPr>
          <w:rFonts w:hint="eastAsia"/>
          <w:sz w:val="28"/>
          <w:szCs w:val="28"/>
        </w:rPr>
      </w:pPr>
      <w:r>
        <w:rPr>
          <w:rFonts w:hint="eastAsia"/>
          <w:sz w:val="28"/>
          <w:szCs w:val="28"/>
        </w:rPr>
        <w:t>2．理解角动量量子化及空间量子化、斯忒恩-盖拉赫实验、微观粒子的自旋、描述原子中电子运动状态的四个量子数、元素周期表的概念。</w:t>
      </w:r>
    </w:p>
    <w:p>
      <w:pPr>
        <w:spacing w:after="0" w:line="0" w:lineRule="atLeast"/>
        <w:ind w:left="0" w:right="0"/>
        <w:contextualSpacing/>
        <w:rPr>
          <w:rFonts w:hint="eastAsia"/>
          <w:sz w:val="28"/>
          <w:szCs w:val="28"/>
        </w:rPr>
      </w:pPr>
      <w:r>
        <w:rPr>
          <w:rFonts w:hint="eastAsia"/>
          <w:sz w:val="28"/>
          <w:szCs w:val="28"/>
        </w:rPr>
        <w:t>3．掌握泡利不相容原理。</w:t>
      </w:r>
    </w:p>
    <w:p>
      <w:pPr>
        <w:spacing w:after="0" w:line="0" w:lineRule="atLeast"/>
        <w:ind w:left="0" w:right="0"/>
        <w:contextualSpacing/>
        <w:rPr>
          <w:rFonts w:hint="eastAsia"/>
          <w:sz w:val="28"/>
          <w:szCs w:val="28"/>
        </w:rPr>
      </w:pPr>
      <w:r>
        <w:rPr>
          <w:rFonts w:hint="eastAsia"/>
          <w:sz w:val="28"/>
          <w:szCs w:val="28"/>
        </w:rPr>
        <w:t>4．理解氢原子光谱的实验规律及玻尔氢原子理论的原理。</w:t>
      </w:r>
    </w:p>
    <w:p>
      <w:pPr>
        <w:spacing w:after="0" w:line="0" w:lineRule="atLeast"/>
        <w:ind w:left="0" w:right="0"/>
        <w:contextualSpacing/>
        <w:rPr>
          <w:rFonts w:hint="eastAsia"/>
          <w:sz w:val="28"/>
          <w:szCs w:val="28"/>
        </w:rPr>
      </w:pPr>
      <w:r>
        <w:rPr>
          <w:rFonts w:hint="eastAsia"/>
          <w:sz w:val="28"/>
          <w:szCs w:val="28"/>
        </w:rPr>
        <w:t>5．掌握描述电子自旋模型及自旋与自旋轨道的耦合。</w:t>
      </w:r>
    </w:p>
    <w:p>
      <w:pPr>
        <w:spacing w:after="0" w:line="0" w:lineRule="atLeast"/>
        <w:ind w:left="0" w:right="0"/>
        <w:contextualSpacing/>
        <w:jc w:val="both"/>
        <w:rPr>
          <w:rFonts w:hint="eastAsia"/>
          <w:sz w:val="28"/>
          <w:szCs w:val="28"/>
        </w:rPr>
      </w:pPr>
      <w:r>
        <w:rPr>
          <w:rFonts w:hint="eastAsia"/>
          <w:sz w:val="28"/>
          <w:szCs w:val="28"/>
        </w:rPr>
        <w:t>6．了解玻尔氢原子理论的意义和局限性。</w:t>
      </w:r>
    </w:p>
    <w:p>
      <w:pPr>
        <w:spacing w:after="0" w:line="0" w:lineRule="atLeast"/>
        <w:ind w:left="0" w:right="0"/>
        <w:contextualSpacing/>
        <w:rPr>
          <w:rFonts w:hint="eastAsia"/>
          <w:sz w:val="28"/>
          <w:szCs w:val="28"/>
        </w:rPr>
      </w:pPr>
    </w:p>
    <w:p>
      <w:pPr>
        <w:numPr>
          <w:ilvl w:val="0"/>
          <w:numId w:val="2"/>
        </w:numPr>
        <w:spacing w:after="0" w:line="0" w:lineRule="atLeast"/>
        <w:ind w:right="0"/>
        <w:contextualSpacing/>
        <w:rPr>
          <w:rFonts w:hint="eastAsia"/>
          <w:b/>
          <w:bCs/>
          <w:sz w:val="28"/>
          <w:szCs w:val="28"/>
        </w:rPr>
      </w:pPr>
      <w:r>
        <w:rPr>
          <w:rFonts w:hint="eastAsia"/>
          <w:b/>
          <w:bCs/>
          <w:sz w:val="28"/>
          <w:szCs w:val="28"/>
        </w:rPr>
        <w:t>参阅：</w:t>
      </w:r>
    </w:p>
    <w:p>
      <w:pPr>
        <w:spacing w:after="0" w:line="0" w:lineRule="atLeast"/>
        <w:ind w:left="420" w:right="0"/>
        <w:contextualSpacing/>
        <w:rPr>
          <w:rFonts w:hint="eastAsia"/>
          <w:sz w:val="28"/>
          <w:szCs w:val="28"/>
        </w:rPr>
      </w:pPr>
      <w:r>
        <w:rPr>
          <w:rFonts w:hint="eastAsia"/>
          <w:sz w:val="28"/>
          <w:szCs w:val="28"/>
        </w:rPr>
        <w:t>《量子力学》，宋鹤山，大连理工大学出版社，（第2版）。</w:t>
      </w:r>
    </w:p>
    <w:p>
      <w:pPr>
        <w:spacing w:after="0" w:line="0" w:lineRule="atLeast"/>
        <w:ind w:left="420" w:right="0"/>
        <w:contextualSpacing/>
        <w:rPr>
          <w:rFonts w:hint="eastAsia"/>
          <w:sz w:val="28"/>
          <w:szCs w:val="28"/>
        </w:rPr>
      </w:pPr>
      <w:r>
        <w:rPr>
          <w:rFonts w:hint="eastAsia"/>
          <w:sz w:val="28"/>
          <w:szCs w:val="28"/>
        </w:rPr>
        <w:t>《量子力学教程》，周世勋，高等教育出版社，（第1版）。</w:t>
      </w:r>
    </w:p>
    <w:p>
      <w:pPr>
        <w:spacing w:after="0" w:line="0" w:lineRule="atLeast"/>
        <w:ind w:left="420" w:right="0"/>
        <w:contextualSpacing/>
        <w:rPr>
          <w:rFonts w:hint="eastAsia"/>
          <w:sz w:val="28"/>
          <w:szCs w:val="28"/>
        </w:rPr>
      </w:pPr>
      <w:r>
        <w:rPr>
          <w:rFonts w:hint="eastAsia"/>
          <w:sz w:val="28"/>
          <w:szCs w:val="28"/>
        </w:rPr>
        <w:t>《原子物理学》，褚圣麟，高等教育出版社，（第1版）。</w:t>
      </w:r>
    </w:p>
    <w:p>
      <w:pPr>
        <w:spacing w:after="0" w:line="0" w:lineRule="atLeast"/>
        <w:ind w:left="420" w:right="0"/>
        <w:contextualSpacing/>
        <w:rPr>
          <w:rFonts w:hint="eastAsia"/>
          <w:sz w:val="28"/>
          <w:szCs w:val="28"/>
        </w:rPr>
      </w:pPr>
    </w:p>
    <w:p>
      <w:pPr>
        <w:spacing w:after="0" w:line="0" w:lineRule="atLeast"/>
        <w:ind w:left="420" w:right="0"/>
        <w:contextualSpacing/>
        <w:rPr>
          <w:rFonts w:hint="eastAsia"/>
          <w:sz w:val="28"/>
          <w:szCs w:val="28"/>
        </w:rPr>
      </w:pPr>
    </w:p>
    <w:p>
      <w:pPr>
        <w:spacing w:after="0" w:line="0" w:lineRule="atLeast"/>
        <w:ind w:left="0" w:right="0"/>
        <w:contextualSpacing/>
        <w:rPr>
          <w:rFonts w:hint="eastAsia"/>
          <w:sz w:val="28"/>
          <w:szCs w:val="28"/>
        </w:rPr>
      </w:pPr>
    </w:p>
    <w:sectPr>
      <w:pgSz w:w="11904" w:h="16838"/>
      <w:pgMar w:top="993" w:right="989" w:bottom="851" w:left="993"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E328"/>
    <w:multiLevelType w:val="singleLevel"/>
    <w:tmpl w:val="26A0E328"/>
    <w:lvl w:ilvl="0" w:tentative="0">
      <w:start w:val="1"/>
      <w:numFmt w:val="decimal"/>
      <w:suff w:val="nothing"/>
      <w:lvlText w:val="%1．"/>
      <w:lvlJc w:val="left"/>
    </w:lvl>
  </w:abstractNum>
  <w:abstractNum w:abstractNumId="1">
    <w:nsid w:val="578964AD"/>
    <w:multiLevelType w:val="multilevel"/>
    <w:tmpl w:val="578964A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01887"/>
    <w:rsid w:val="0080300D"/>
    <w:rsid w:val="00B87C9B"/>
    <w:rsid w:val="00CC231C"/>
    <w:rsid w:val="00CD4EF4"/>
    <w:rsid w:val="00DF0981"/>
    <w:rsid w:val="05C655B5"/>
    <w:rsid w:val="11FA334D"/>
    <w:rsid w:val="20986FEC"/>
    <w:rsid w:val="21821285"/>
    <w:rsid w:val="2B822693"/>
    <w:rsid w:val="309E273C"/>
    <w:rsid w:val="31E101E7"/>
    <w:rsid w:val="32F36070"/>
    <w:rsid w:val="3F8805F7"/>
    <w:rsid w:val="49272F9A"/>
    <w:rsid w:val="498A5DF7"/>
    <w:rsid w:val="58DA36F8"/>
    <w:rsid w:val="5AF41E7F"/>
    <w:rsid w:val="62CD5E7C"/>
    <w:rsid w:val="76A864E3"/>
    <w:rsid w:val="76C254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13"/>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3">
    <w:name w:val="List 2"/>
    <w:basedOn w:val="1"/>
    <w:uiPriority w:val="0"/>
    <w:pPr>
      <w:widowControl w:val="0"/>
      <w:spacing w:after="0" w:afterLines="0" w:line="240" w:lineRule="auto"/>
      <w:ind w:left="840" w:right="0" w:hanging="420"/>
      <w:jc w:val="both"/>
    </w:pPr>
    <w:rPr>
      <w:rFonts w:ascii="Times New Roman" w:hAnsi="Times New Roman" w:cs="Times New Roman"/>
      <w:color w:val="auto"/>
      <w:szCs w:val="20"/>
    </w:rPr>
  </w:style>
  <w:style w:type="paragraph" w:styleId="4">
    <w:name w:val="footer"/>
    <w:basedOn w:val="1"/>
    <w:link w:val="15"/>
    <w:unhideWhenUsed/>
    <w:uiPriority w:val="99"/>
    <w:pPr>
      <w:tabs>
        <w:tab w:val="center" w:pos="4153"/>
        <w:tab w:val="right" w:pos="8306"/>
      </w:tabs>
      <w:snapToGrid w:val="0"/>
      <w:spacing w:line="240" w:lineRule="auto"/>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page number"/>
    <w:basedOn w:val="7"/>
    <w:unhideWhenUsed/>
    <w:uiPriority w:val="0"/>
  </w:style>
  <w:style w:type="paragraph" w:customStyle="1" w:styleId="9">
    <w:name w:val="List Paragraph"/>
    <w:basedOn w:val="1"/>
    <w:qFormat/>
    <w:uiPriority w:val="34"/>
    <w:pPr>
      <w:ind w:firstLine="420" w:firstLineChars="200"/>
    </w:pPr>
  </w:style>
  <w:style w:type="paragraph" w:customStyle="1" w:styleId="10">
    <w:name w:val="样式1"/>
    <w:basedOn w:val="1"/>
    <w:link w:val="11"/>
    <w:qFormat/>
    <w:uiPriority w:val="0"/>
    <w:pPr>
      <w:spacing w:after="0" w:afterLines="0" w:line="0" w:lineRule="atLeast"/>
      <w:ind w:left="0" w:right="0"/>
      <w:contextualSpacing/>
    </w:pPr>
    <w:rPr>
      <w:rFonts w:ascii="微软雅黑" w:hAnsi="微软雅黑" w:eastAsia="微软雅黑"/>
      <w:b/>
      <w:sz w:val="28"/>
      <w:szCs w:val="24"/>
    </w:rPr>
  </w:style>
  <w:style w:type="character" w:customStyle="1" w:styleId="11">
    <w:name w:val="样式1 Char"/>
    <w:link w:val="10"/>
    <w:uiPriority w:val="0"/>
    <w:rPr>
      <w:rFonts w:ascii="微软雅黑" w:hAnsi="微软雅黑" w:eastAsia="微软雅黑" w:cs="宋体"/>
      <w:b/>
      <w:color w:val="000000"/>
      <w:sz w:val="28"/>
      <w:szCs w:val="24"/>
    </w:rPr>
  </w:style>
  <w:style w:type="character" w:customStyle="1" w:styleId="12">
    <w:name w:val="Placeholder Text"/>
    <w:semiHidden/>
    <w:uiPriority w:val="99"/>
    <w:rPr>
      <w:color w:val="808080"/>
    </w:rPr>
  </w:style>
  <w:style w:type="character" w:customStyle="1" w:styleId="13">
    <w:name w:val="标题 1 Char"/>
    <w:link w:val="2"/>
    <w:uiPriority w:val="0"/>
    <w:rPr>
      <w:rFonts w:ascii="楷体" w:hAnsi="楷体" w:eastAsia="楷体"/>
      <w:color w:val="000000"/>
      <w:sz w:val="24"/>
      <w:lang w:bidi="ar-SA"/>
    </w:rPr>
  </w:style>
  <w:style w:type="character" w:customStyle="1" w:styleId="14">
    <w:name w:val="页眉 Char"/>
    <w:link w:val="5"/>
    <w:uiPriority w:val="99"/>
    <w:rPr>
      <w:rFonts w:ascii="宋体" w:hAnsi="宋体" w:eastAsia="宋体" w:cs="宋体"/>
      <w:color w:val="000000"/>
      <w:sz w:val="18"/>
      <w:szCs w:val="18"/>
    </w:rPr>
  </w:style>
  <w:style w:type="character" w:customStyle="1" w:styleId="15">
    <w:name w:val="页脚 Char"/>
    <w:link w:val="4"/>
    <w:uiPriority w:val="99"/>
    <w:rPr>
      <w:rFonts w:ascii="宋体" w:hAnsi="宋体" w:eastAsia="宋体" w:cs="宋体"/>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226</Words>
  <Characters>1294</Characters>
  <Lines>10</Lines>
  <Paragraphs>3</Paragraphs>
  <TotalTime>0</TotalTime>
  <ScaleCrop>false</ScaleCrop>
  <LinksUpToDate>false</LinksUpToDate>
  <CharactersWithSpaces>1517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2013-12-21T06:09:00Z</dcterms:created>
  <dc:creator>Rusty</dc:creator>
  <cp:lastModifiedBy>Administrator</cp:lastModifiedBy>
  <dcterms:modified xsi:type="dcterms:W3CDTF">2021-09-17T02:21:53Z</dcterms:modified>
  <dc:title>2014年数学考研大纲(数学一)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