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rPr>
      </w:pPr>
      <w:bookmarkStart w:id="0" w:name="_GoBack"/>
      <w:bookmarkEnd w:id="0"/>
      <w:r>
        <w:rPr>
          <w:rFonts w:hint="eastAsia" w:ascii="黑体" w:eastAsia="黑体"/>
          <w:sz w:val="32"/>
          <w:szCs w:val="32"/>
        </w:rPr>
        <w:t>807-经济学原理</w:t>
      </w:r>
    </w:p>
    <w:p>
      <w:pPr>
        <w:jc w:val="center"/>
        <w:rPr>
          <w:rFonts w:hint="eastAsia" w:ascii="黑体" w:hAnsi="宋体" w:eastAsia="黑体"/>
          <w:szCs w:val="21"/>
        </w:rPr>
      </w:pPr>
    </w:p>
    <w:p>
      <w:pPr>
        <w:spacing w:line="400" w:lineRule="exact"/>
        <w:rPr>
          <w:rFonts w:ascii="Calibri" w:hAnsi="Calibri" w:eastAsia="黑体"/>
          <w:szCs w:val="21"/>
        </w:rPr>
      </w:pPr>
      <w:r>
        <w:rPr>
          <w:rFonts w:ascii="Calibri" w:hAnsi="Calibri" w:eastAsia="黑体"/>
          <w:szCs w:val="21"/>
        </w:rPr>
        <w:t>一、考试目的</w:t>
      </w:r>
    </w:p>
    <w:p>
      <w:pPr>
        <w:spacing w:line="400" w:lineRule="exact"/>
        <w:ind w:firstLine="420" w:firstLineChars="200"/>
        <w:rPr>
          <w:rFonts w:ascii="Calibri" w:hAnsi="Calibri" w:eastAsia="黑体"/>
          <w:szCs w:val="21"/>
        </w:rPr>
      </w:pPr>
      <w:r>
        <w:rPr>
          <w:rFonts w:ascii="Calibri" w:hAnsi="宋体"/>
          <w:szCs w:val="21"/>
        </w:rPr>
        <w:t>《经济学</w:t>
      </w:r>
      <w:r>
        <w:rPr>
          <w:rFonts w:hint="eastAsia" w:ascii="Calibri" w:hAnsi="宋体"/>
          <w:szCs w:val="21"/>
        </w:rPr>
        <w:t>原理</w:t>
      </w:r>
      <w:r>
        <w:rPr>
          <w:rFonts w:ascii="Calibri" w:hAnsi="宋体"/>
          <w:szCs w:val="21"/>
        </w:rPr>
        <w:t>》是经济类科学学位研究生理论经济学和应用经济学两个一级学科硕士学位研究生入学统一考试的科目之一。《经济学</w:t>
      </w:r>
      <w:r>
        <w:rPr>
          <w:rFonts w:hint="eastAsia" w:ascii="Calibri" w:hAnsi="宋体"/>
          <w:szCs w:val="21"/>
        </w:rPr>
        <w:t>原理</w:t>
      </w:r>
      <w:r>
        <w:rPr>
          <w:rFonts w:ascii="Calibri" w:hAnsi="宋体"/>
          <w:szCs w:val="21"/>
        </w:rPr>
        <w:t>》考试力求科学、公平、准确、规范地测评考生有关经济学理论方面的基本素质和综合能力，选拔具有发展潜力的优秀人才入学，为国家的经济建设培养具有良好职业道德、具有扎实的理论功底和较强分析与解决实际问题能力的高层次专业人才。</w:t>
      </w:r>
    </w:p>
    <w:p>
      <w:pPr>
        <w:spacing w:line="400" w:lineRule="exact"/>
        <w:rPr>
          <w:rFonts w:ascii="Calibri" w:hAnsi="Calibri"/>
          <w:szCs w:val="21"/>
        </w:rPr>
      </w:pPr>
    </w:p>
    <w:p>
      <w:pPr>
        <w:spacing w:line="400" w:lineRule="exact"/>
        <w:rPr>
          <w:rFonts w:ascii="Calibri" w:hAnsi="Calibri" w:eastAsia="黑体"/>
          <w:szCs w:val="21"/>
        </w:rPr>
      </w:pPr>
      <w:r>
        <w:rPr>
          <w:rFonts w:ascii="Calibri" w:hAnsi="Calibri" w:eastAsia="黑体"/>
          <w:szCs w:val="21"/>
        </w:rPr>
        <w:t>二、考试要求</w:t>
      </w:r>
    </w:p>
    <w:p>
      <w:pPr>
        <w:spacing w:line="400" w:lineRule="exact"/>
        <w:ind w:firstLine="420" w:firstLineChars="200"/>
        <w:rPr>
          <w:rFonts w:ascii="Calibri" w:hAnsi="Calibri"/>
          <w:szCs w:val="21"/>
        </w:rPr>
      </w:pPr>
      <w:r>
        <w:rPr>
          <w:rFonts w:ascii="Calibri" w:hAnsi="宋体"/>
          <w:szCs w:val="21"/>
        </w:rPr>
        <w:t>测试考生对于</w:t>
      </w:r>
      <w:r>
        <w:rPr>
          <w:rFonts w:hint="eastAsia" w:ascii="Calibri" w:hAnsi="宋体"/>
          <w:szCs w:val="21"/>
        </w:rPr>
        <w:t>政治经济学、</w:t>
      </w:r>
      <w:r>
        <w:rPr>
          <w:rFonts w:ascii="Calibri" w:hAnsi="宋体"/>
          <w:szCs w:val="21"/>
        </w:rPr>
        <w:t>微观经济学</w:t>
      </w:r>
      <w:r>
        <w:rPr>
          <w:rFonts w:hint="eastAsia" w:ascii="Calibri" w:hAnsi="宋体"/>
          <w:szCs w:val="21"/>
        </w:rPr>
        <w:t>和</w:t>
      </w:r>
      <w:r>
        <w:rPr>
          <w:rFonts w:ascii="Calibri" w:hAnsi="宋体"/>
          <w:szCs w:val="21"/>
        </w:rPr>
        <w:t>宏观经济学相关的基本概念、基本理论、基础知识的掌握情况以及综合运用、分析和解决经济领域现实问题的能力。</w:t>
      </w:r>
    </w:p>
    <w:p>
      <w:pPr>
        <w:spacing w:line="400" w:lineRule="exact"/>
        <w:ind w:firstLine="420" w:firstLineChars="200"/>
        <w:rPr>
          <w:rFonts w:ascii="Calibri" w:hAnsi="Calibri"/>
          <w:szCs w:val="21"/>
        </w:rPr>
      </w:pPr>
    </w:p>
    <w:p>
      <w:pPr>
        <w:spacing w:line="400" w:lineRule="exact"/>
        <w:rPr>
          <w:rFonts w:ascii="Calibri" w:hAnsi="Calibri" w:eastAsia="黑体"/>
          <w:szCs w:val="21"/>
        </w:rPr>
      </w:pPr>
      <w:r>
        <w:rPr>
          <w:rFonts w:ascii="Calibri" w:hAnsi="Calibri" w:eastAsia="黑体"/>
          <w:szCs w:val="21"/>
        </w:rPr>
        <w:t>三、考试内容</w:t>
      </w:r>
    </w:p>
    <w:p>
      <w:pPr>
        <w:snapToGrid w:val="0"/>
        <w:spacing w:line="400" w:lineRule="exact"/>
        <w:ind w:firstLine="420" w:firstLineChars="200"/>
        <w:rPr>
          <w:rFonts w:ascii="Calibri" w:hAnsi="宋体"/>
          <w:szCs w:val="21"/>
        </w:rPr>
      </w:pPr>
      <w:r>
        <w:rPr>
          <w:rFonts w:ascii="Calibri" w:hAnsi="宋体"/>
          <w:szCs w:val="21"/>
        </w:rPr>
        <w:t>本科目满分</w:t>
      </w:r>
      <w:r>
        <w:rPr>
          <w:rFonts w:ascii="Calibri" w:hAnsi="Calibri"/>
          <w:szCs w:val="21"/>
        </w:rPr>
        <w:t>150</w:t>
      </w:r>
      <w:r>
        <w:rPr>
          <w:rFonts w:ascii="Calibri" w:hAnsi="宋体"/>
          <w:szCs w:val="21"/>
        </w:rPr>
        <w:t>分，答题方式为闭卷、笔试，考试时间</w:t>
      </w:r>
      <w:r>
        <w:rPr>
          <w:rFonts w:ascii="Calibri" w:hAnsi="Calibri"/>
          <w:szCs w:val="21"/>
        </w:rPr>
        <w:t>180</w:t>
      </w:r>
      <w:r>
        <w:rPr>
          <w:rFonts w:ascii="Calibri" w:hAnsi="宋体"/>
          <w:szCs w:val="21"/>
        </w:rPr>
        <w:t>分钟。</w:t>
      </w:r>
    </w:p>
    <w:p>
      <w:pPr>
        <w:numPr>
          <w:ilvl w:val="0"/>
          <w:numId w:val="1"/>
        </w:numPr>
        <w:snapToGrid w:val="0"/>
        <w:spacing w:line="400" w:lineRule="exact"/>
        <w:rPr>
          <w:rFonts w:ascii="Calibri" w:hAnsi="宋体"/>
          <w:szCs w:val="21"/>
        </w:rPr>
      </w:pPr>
      <w:r>
        <w:rPr>
          <w:rFonts w:hint="eastAsia" w:ascii="Calibri" w:hAnsi="宋体"/>
          <w:szCs w:val="21"/>
        </w:rPr>
        <w:t>政治经济学</w:t>
      </w:r>
    </w:p>
    <w:p>
      <w:pPr>
        <w:numPr>
          <w:ilvl w:val="0"/>
          <w:numId w:val="2"/>
        </w:numPr>
        <w:snapToGrid w:val="0"/>
        <w:spacing w:line="400" w:lineRule="exact"/>
        <w:rPr>
          <w:rFonts w:ascii="Calibri" w:hAnsi="宋体"/>
          <w:szCs w:val="21"/>
        </w:rPr>
      </w:pPr>
      <w:r>
        <w:rPr>
          <w:rFonts w:hint="eastAsia" w:ascii="Calibri" w:hAnsi="宋体"/>
          <w:szCs w:val="21"/>
        </w:rPr>
        <w:t>商品生产</w:t>
      </w:r>
      <w:r>
        <w:rPr>
          <w:rFonts w:ascii="Calibri" w:hAnsi="宋体"/>
          <w:szCs w:val="21"/>
        </w:rPr>
        <w:t>与劳动价值论</w:t>
      </w:r>
    </w:p>
    <w:p>
      <w:pPr>
        <w:numPr>
          <w:ilvl w:val="0"/>
          <w:numId w:val="2"/>
        </w:numPr>
        <w:snapToGrid w:val="0"/>
        <w:spacing w:line="400" w:lineRule="exact"/>
        <w:rPr>
          <w:rFonts w:ascii="Calibri" w:hAnsi="Calibri"/>
          <w:szCs w:val="21"/>
        </w:rPr>
      </w:pPr>
      <w:r>
        <w:rPr>
          <w:rFonts w:hint="eastAsia" w:ascii="Calibri" w:hAnsi="宋体"/>
          <w:szCs w:val="21"/>
        </w:rPr>
        <w:t>剩余价值理论</w:t>
      </w:r>
    </w:p>
    <w:p>
      <w:pPr>
        <w:numPr>
          <w:ilvl w:val="0"/>
          <w:numId w:val="2"/>
        </w:numPr>
        <w:snapToGrid w:val="0"/>
        <w:spacing w:line="400" w:lineRule="exact"/>
        <w:rPr>
          <w:rFonts w:ascii="Calibri" w:hAnsi="Calibri"/>
          <w:szCs w:val="21"/>
        </w:rPr>
      </w:pPr>
      <w:r>
        <w:rPr>
          <w:rFonts w:hint="eastAsia" w:ascii="Calibri" w:hAnsi="宋体"/>
          <w:szCs w:val="21"/>
        </w:rPr>
        <w:t>资本积累</w:t>
      </w:r>
      <w:r>
        <w:rPr>
          <w:rFonts w:ascii="Calibri" w:hAnsi="宋体"/>
          <w:szCs w:val="21"/>
        </w:rPr>
        <w:t>理论</w:t>
      </w:r>
    </w:p>
    <w:p>
      <w:pPr>
        <w:numPr>
          <w:ilvl w:val="0"/>
          <w:numId w:val="2"/>
        </w:numPr>
        <w:snapToGrid w:val="0"/>
        <w:spacing w:line="400" w:lineRule="exact"/>
        <w:rPr>
          <w:rFonts w:ascii="Calibri" w:hAnsi="Calibri"/>
          <w:szCs w:val="21"/>
        </w:rPr>
      </w:pPr>
      <w:r>
        <w:rPr>
          <w:rFonts w:hint="eastAsia" w:ascii="Calibri" w:hAnsi="宋体"/>
          <w:szCs w:val="21"/>
        </w:rPr>
        <w:t>资本</w:t>
      </w:r>
      <w:r>
        <w:rPr>
          <w:rFonts w:ascii="Calibri" w:hAnsi="宋体"/>
          <w:szCs w:val="21"/>
        </w:rPr>
        <w:t>循环与周转理论</w:t>
      </w:r>
    </w:p>
    <w:p>
      <w:pPr>
        <w:numPr>
          <w:ilvl w:val="0"/>
          <w:numId w:val="2"/>
        </w:numPr>
        <w:snapToGrid w:val="0"/>
        <w:spacing w:line="400" w:lineRule="exact"/>
        <w:rPr>
          <w:rFonts w:ascii="Calibri" w:hAnsi="Calibri"/>
          <w:szCs w:val="21"/>
        </w:rPr>
      </w:pPr>
      <w:r>
        <w:rPr>
          <w:rFonts w:hint="eastAsia" w:ascii="Calibri" w:hAnsi="宋体"/>
          <w:szCs w:val="21"/>
        </w:rPr>
        <w:t>生产价格</w:t>
      </w:r>
      <w:r>
        <w:rPr>
          <w:rFonts w:ascii="Calibri" w:hAnsi="宋体"/>
          <w:szCs w:val="21"/>
        </w:rPr>
        <w:t>与剩余价值理论</w:t>
      </w:r>
    </w:p>
    <w:p>
      <w:pPr>
        <w:numPr>
          <w:ilvl w:val="0"/>
          <w:numId w:val="2"/>
        </w:numPr>
        <w:snapToGrid w:val="0"/>
        <w:spacing w:line="400" w:lineRule="exact"/>
        <w:rPr>
          <w:rFonts w:ascii="Calibri" w:hAnsi="Calibri"/>
          <w:szCs w:val="21"/>
        </w:rPr>
      </w:pPr>
      <w:r>
        <w:rPr>
          <w:rFonts w:hint="eastAsia" w:ascii="Calibri" w:hAnsi="宋体"/>
          <w:szCs w:val="21"/>
        </w:rPr>
        <w:t>中国</w:t>
      </w:r>
      <w:r>
        <w:rPr>
          <w:rFonts w:ascii="Calibri" w:hAnsi="宋体"/>
          <w:szCs w:val="21"/>
        </w:rPr>
        <w:t>社会主义所有制理论</w:t>
      </w:r>
    </w:p>
    <w:p>
      <w:pPr>
        <w:numPr>
          <w:ilvl w:val="0"/>
          <w:numId w:val="2"/>
        </w:numPr>
        <w:snapToGrid w:val="0"/>
        <w:spacing w:line="400" w:lineRule="exact"/>
        <w:rPr>
          <w:rFonts w:hint="eastAsia" w:ascii="Calibri" w:hAnsi="Calibri"/>
          <w:szCs w:val="21"/>
        </w:rPr>
      </w:pPr>
      <w:r>
        <w:rPr>
          <w:rFonts w:hint="eastAsia" w:ascii="Calibri" w:hAnsi="宋体"/>
          <w:szCs w:val="21"/>
        </w:rPr>
        <w:t>中国</w:t>
      </w:r>
      <w:r>
        <w:rPr>
          <w:rFonts w:ascii="Calibri" w:hAnsi="宋体"/>
          <w:szCs w:val="21"/>
        </w:rPr>
        <w:t>社会主义分配理论</w:t>
      </w:r>
    </w:p>
    <w:p>
      <w:pPr>
        <w:snapToGrid w:val="0"/>
        <w:spacing w:line="400" w:lineRule="exact"/>
        <w:ind w:firstLine="525" w:firstLineChars="250"/>
        <w:rPr>
          <w:rFonts w:hint="eastAsia" w:ascii="黑体" w:hAnsi="Calibri" w:eastAsia="黑体"/>
          <w:szCs w:val="21"/>
        </w:rPr>
      </w:pPr>
      <w:r>
        <w:rPr>
          <w:rFonts w:hint="eastAsia" w:ascii="Calibri" w:hAnsi="Calibri"/>
          <w:color w:val="000000"/>
          <w:szCs w:val="21"/>
        </w:rPr>
        <w:t>2</w:t>
      </w:r>
      <w:r>
        <w:rPr>
          <w:rFonts w:hint="eastAsia" w:ascii="Calibri" w:hAnsi="宋体"/>
          <w:szCs w:val="21"/>
        </w:rPr>
        <w:t>．</w:t>
      </w:r>
      <w:r>
        <w:rPr>
          <w:rFonts w:hint="eastAsia" w:ascii="黑体" w:hAnsi="宋体" w:eastAsia="黑体"/>
          <w:szCs w:val="21"/>
        </w:rPr>
        <w:t>微观经济学</w:t>
      </w:r>
    </w:p>
    <w:p>
      <w:pPr>
        <w:snapToGrid w:val="0"/>
        <w:spacing w:line="400" w:lineRule="exact"/>
        <w:ind w:firstLine="945" w:firstLineChars="450"/>
        <w:rPr>
          <w:rFonts w:ascii="Calibri" w:hAnsi="Calibri"/>
          <w:szCs w:val="21"/>
        </w:rPr>
      </w:pPr>
      <w:r>
        <w:rPr>
          <w:rFonts w:hint="eastAsia" w:ascii="Calibri" w:hAnsi="宋体"/>
          <w:szCs w:val="21"/>
        </w:rPr>
        <w:t>（1）</w:t>
      </w:r>
      <w:r>
        <w:rPr>
          <w:rFonts w:ascii="Calibri" w:hAnsi="宋体"/>
          <w:szCs w:val="21"/>
        </w:rPr>
        <w:t>供求理论</w:t>
      </w:r>
    </w:p>
    <w:p>
      <w:pPr>
        <w:snapToGrid w:val="0"/>
        <w:spacing w:line="400" w:lineRule="exact"/>
        <w:ind w:firstLine="945" w:firstLineChars="450"/>
        <w:rPr>
          <w:rFonts w:ascii="Calibri" w:hAnsi="Calibri"/>
          <w:szCs w:val="21"/>
        </w:rPr>
      </w:pPr>
      <w:r>
        <w:rPr>
          <w:rFonts w:hint="eastAsia" w:ascii="Calibri" w:hAnsi="宋体"/>
          <w:szCs w:val="21"/>
        </w:rPr>
        <w:t>（2）</w:t>
      </w:r>
      <w:r>
        <w:rPr>
          <w:rFonts w:ascii="Calibri" w:hAnsi="宋体"/>
          <w:szCs w:val="21"/>
        </w:rPr>
        <w:t>消费者行为理论</w:t>
      </w:r>
    </w:p>
    <w:p>
      <w:pPr>
        <w:snapToGrid w:val="0"/>
        <w:spacing w:line="400" w:lineRule="exact"/>
        <w:ind w:firstLine="945" w:firstLineChars="450"/>
        <w:rPr>
          <w:rFonts w:hint="eastAsia" w:ascii="Calibri" w:hAnsi="Calibri"/>
          <w:szCs w:val="21"/>
        </w:rPr>
      </w:pPr>
      <w:r>
        <w:rPr>
          <w:rFonts w:hint="eastAsia" w:ascii="Calibri" w:hAnsi="宋体"/>
          <w:szCs w:val="21"/>
        </w:rPr>
        <w:t>（3）</w:t>
      </w:r>
      <w:r>
        <w:rPr>
          <w:rFonts w:ascii="Calibri" w:hAnsi="宋体"/>
          <w:szCs w:val="21"/>
        </w:rPr>
        <w:t>生产</w:t>
      </w:r>
      <w:r>
        <w:rPr>
          <w:rFonts w:hint="eastAsia" w:ascii="Calibri" w:hAnsi="宋体"/>
          <w:szCs w:val="21"/>
        </w:rPr>
        <w:t>与成本</w:t>
      </w:r>
      <w:r>
        <w:rPr>
          <w:rFonts w:ascii="Calibri" w:hAnsi="宋体"/>
          <w:szCs w:val="21"/>
        </w:rPr>
        <w:t>理论</w:t>
      </w:r>
    </w:p>
    <w:p>
      <w:pPr>
        <w:snapToGrid w:val="0"/>
        <w:spacing w:line="400" w:lineRule="exact"/>
        <w:ind w:firstLine="945" w:firstLineChars="450"/>
        <w:rPr>
          <w:rFonts w:ascii="Calibri" w:hAnsi="宋体"/>
          <w:szCs w:val="21"/>
        </w:rPr>
      </w:pPr>
      <w:r>
        <w:rPr>
          <w:rFonts w:hint="eastAsia" w:ascii="Calibri" w:hAnsi="宋体"/>
          <w:szCs w:val="21"/>
        </w:rPr>
        <w:t>（4）</w:t>
      </w:r>
      <w:r>
        <w:rPr>
          <w:rFonts w:ascii="Calibri" w:hAnsi="宋体"/>
          <w:szCs w:val="21"/>
        </w:rPr>
        <w:t>市场结构理论</w:t>
      </w:r>
    </w:p>
    <w:p>
      <w:pPr>
        <w:snapToGrid w:val="0"/>
        <w:spacing w:line="400" w:lineRule="exact"/>
        <w:ind w:firstLine="945" w:firstLineChars="450"/>
        <w:rPr>
          <w:rFonts w:hint="eastAsia" w:ascii="Calibri" w:hAnsi="Calibri"/>
          <w:szCs w:val="21"/>
        </w:rPr>
      </w:pPr>
      <w:r>
        <w:rPr>
          <w:rFonts w:hint="eastAsia" w:ascii="Calibri" w:hAnsi="宋体"/>
          <w:szCs w:val="21"/>
        </w:rPr>
        <w:t>（5）</w:t>
      </w:r>
      <w:r>
        <w:rPr>
          <w:rFonts w:ascii="Calibri" w:hAnsi="宋体"/>
          <w:szCs w:val="21"/>
        </w:rPr>
        <w:t>生产要素市场</w:t>
      </w:r>
    </w:p>
    <w:p>
      <w:pPr>
        <w:snapToGrid w:val="0"/>
        <w:spacing w:line="400" w:lineRule="exact"/>
        <w:rPr>
          <w:rFonts w:ascii="Calibri" w:hAnsi="Calibri"/>
          <w:szCs w:val="21"/>
        </w:rPr>
      </w:pPr>
      <w:r>
        <w:rPr>
          <w:rFonts w:hint="eastAsia" w:ascii="Calibri" w:hAnsi="宋体"/>
          <w:szCs w:val="21"/>
        </w:rPr>
        <w:t>、       （6）</w:t>
      </w:r>
      <w:r>
        <w:rPr>
          <w:rFonts w:ascii="Calibri" w:hAnsi="宋体"/>
          <w:szCs w:val="21"/>
        </w:rPr>
        <w:t>一般均衡理论</w:t>
      </w:r>
    </w:p>
    <w:p>
      <w:pPr>
        <w:snapToGrid w:val="0"/>
        <w:spacing w:line="400" w:lineRule="exact"/>
        <w:ind w:firstLine="945" w:firstLineChars="450"/>
        <w:rPr>
          <w:rFonts w:hint="eastAsia" w:ascii="Calibri" w:hAnsi="Calibri"/>
          <w:szCs w:val="21"/>
        </w:rPr>
      </w:pPr>
      <w:r>
        <w:rPr>
          <w:rFonts w:hint="eastAsia" w:ascii="Calibri" w:hAnsi="宋体"/>
          <w:szCs w:val="21"/>
        </w:rPr>
        <w:t>（7）</w:t>
      </w:r>
      <w:r>
        <w:rPr>
          <w:rFonts w:ascii="Calibri" w:hAnsi="宋体"/>
          <w:szCs w:val="21"/>
        </w:rPr>
        <w:t>福利经济学及市场失灵理论</w:t>
      </w:r>
    </w:p>
    <w:p>
      <w:pPr>
        <w:snapToGrid w:val="0"/>
        <w:spacing w:line="400" w:lineRule="exact"/>
        <w:ind w:firstLine="315" w:firstLineChars="150"/>
        <w:rPr>
          <w:rFonts w:ascii="黑体" w:hAnsi="宋体" w:eastAsia="黑体"/>
          <w:szCs w:val="21"/>
        </w:rPr>
      </w:pPr>
      <w:r>
        <w:rPr>
          <w:rFonts w:hint="eastAsia" w:ascii="Calibri" w:hAnsi="Calibri"/>
          <w:color w:val="000000"/>
          <w:szCs w:val="21"/>
        </w:rPr>
        <w:t>3</w:t>
      </w:r>
      <w:r>
        <w:rPr>
          <w:rFonts w:hint="eastAsia" w:ascii="Calibri" w:hAnsi="宋体"/>
          <w:szCs w:val="21"/>
        </w:rPr>
        <w:t>．</w:t>
      </w:r>
      <w:r>
        <w:rPr>
          <w:rFonts w:ascii="黑体" w:hAnsi="宋体" w:eastAsia="黑体"/>
          <w:szCs w:val="21"/>
        </w:rPr>
        <w:t>宏观经济学</w:t>
      </w:r>
    </w:p>
    <w:p>
      <w:pPr>
        <w:snapToGrid w:val="0"/>
        <w:spacing w:line="400" w:lineRule="exact"/>
        <w:ind w:firstLine="945" w:firstLineChars="450"/>
        <w:rPr>
          <w:rFonts w:ascii="Calibri" w:hAnsi="Calibri"/>
          <w:szCs w:val="21"/>
        </w:rPr>
      </w:pPr>
      <w:r>
        <w:rPr>
          <w:rFonts w:hint="eastAsia" w:ascii="Calibri" w:hAnsi="宋体"/>
          <w:szCs w:val="21"/>
        </w:rPr>
        <w:t>（1）</w:t>
      </w:r>
      <w:r>
        <w:rPr>
          <w:rFonts w:ascii="Calibri" w:hAnsi="宋体"/>
          <w:szCs w:val="21"/>
        </w:rPr>
        <w:t>国民收入核算理论</w:t>
      </w:r>
    </w:p>
    <w:p>
      <w:pPr>
        <w:snapToGrid w:val="0"/>
        <w:spacing w:line="400" w:lineRule="exact"/>
        <w:ind w:firstLine="945" w:firstLineChars="450"/>
        <w:rPr>
          <w:rFonts w:ascii="Calibri" w:hAnsi="Calibri"/>
          <w:szCs w:val="21"/>
        </w:rPr>
      </w:pPr>
      <w:r>
        <w:rPr>
          <w:rFonts w:hint="eastAsia" w:ascii="Calibri" w:hAnsi="宋体"/>
          <w:szCs w:val="21"/>
        </w:rPr>
        <w:t>（2）</w:t>
      </w:r>
      <w:r>
        <w:rPr>
          <w:rFonts w:ascii="Calibri" w:hAnsi="宋体"/>
          <w:szCs w:val="21"/>
        </w:rPr>
        <w:t>经济增长与经济周期理论</w:t>
      </w:r>
    </w:p>
    <w:p>
      <w:pPr>
        <w:snapToGrid w:val="0"/>
        <w:spacing w:line="400" w:lineRule="exact"/>
        <w:ind w:left="210" w:leftChars="100" w:firstLine="315" w:firstLineChars="150"/>
        <w:rPr>
          <w:rFonts w:ascii="Calibri" w:hAnsi="Calibri"/>
          <w:szCs w:val="21"/>
        </w:rPr>
      </w:pPr>
      <w:r>
        <w:rPr>
          <w:rFonts w:hint="eastAsia" w:ascii="Calibri" w:hAnsi="宋体"/>
          <w:szCs w:val="21"/>
        </w:rPr>
        <w:t>（3）</w:t>
      </w:r>
      <w:r>
        <w:rPr>
          <w:rFonts w:ascii="Calibri" w:hAnsi="宋体"/>
          <w:szCs w:val="21"/>
        </w:rPr>
        <w:t>短期收入决定理论</w:t>
      </w:r>
    </w:p>
    <w:p>
      <w:pPr>
        <w:snapToGrid w:val="0"/>
        <w:spacing w:line="400" w:lineRule="exact"/>
        <w:ind w:left="210" w:leftChars="100" w:firstLine="315" w:firstLineChars="150"/>
        <w:rPr>
          <w:rFonts w:ascii="Calibri" w:hAnsi="Calibri"/>
          <w:szCs w:val="21"/>
        </w:rPr>
      </w:pPr>
      <w:r>
        <w:rPr>
          <w:rFonts w:hint="eastAsia" w:ascii="Calibri" w:hAnsi="宋体"/>
          <w:szCs w:val="21"/>
        </w:rPr>
        <w:t>（4）</w:t>
      </w:r>
      <w:r>
        <w:rPr>
          <w:rFonts w:ascii="Calibri" w:hAnsi="宋体"/>
          <w:szCs w:val="21"/>
        </w:rPr>
        <w:t>消费决定理论</w:t>
      </w:r>
    </w:p>
    <w:p>
      <w:pPr>
        <w:snapToGrid w:val="0"/>
        <w:spacing w:line="400" w:lineRule="exact"/>
        <w:ind w:left="210" w:leftChars="100" w:firstLine="315" w:firstLineChars="150"/>
        <w:rPr>
          <w:rFonts w:ascii="Calibri" w:hAnsi="Calibri"/>
          <w:szCs w:val="21"/>
        </w:rPr>
      </w:pPr>
      <w:r>
        <w:rPr>
          <w:rFonts w:hint="eastAsia" w:ascii="Calibri" w:hAnsi="宋体"/>
          <w:szCs w:val="21"/>
        </w:rPr>
        <w:t>（5）</w:t>
      </w:r>
      <w:r>
        <w:rPr>
          <w:rFonts w:ascii="Calibri" w:hAnsi="宋体"/>
          <w:szCs w:val="21"/>
        </w:rPr>
        <w:t>投资、政府支出理论</w:t>
      </w:r>
    </w:p>
    <w:p>
      <w:pPr>
        <w:snapToGrid w:val="0"/>
        <w:spacing w:line="400" w:lineRule="exact"/>
        <w:ind w:left="210" w:leftChars="100" w:firstLine="315" w:firstLineChars="150"/>
        <w:rPr>
          <w:rFonts w:ascii="Calibri" w:hAnsi="宋体"/>
          <w:szCs w:val="21"/>
        </w:rPr>
      </w:pPr>
      <w:r>
        <w:rPr>
          <w:rFonts w:hint="eastAsia" w:ascii="Calibri" w:hAnsi="宋体"/>
          <w:szCs w:val="21"/>
        </w:rPr>
        <w:t>（6）</w:t>
      </w:r>
      <w:r>
        <w:rPr>
          <w:rFonts w:ascii="Calibri" w:hAnsi="宋体"/>
          <w:szCs w:val="21"/>
        </w:rPr>
        <w:t>封闭经济中的产品市场与货币市场均衡理论</w:t>
      </w:r>
    </w:p>
    <w:p>
      <w:pPr>
        <w:snapToGrid w:val="0"/>
        <w:spacing w:line="400" w:lineRule="exact"/>
        <w:ind w:left="210" w:leftChars="100" w:firstLine="315" w:firstLineChars="150"/>
        <w:rPr>
          <w:rFonts w:ascii="Calibri" w:hAnsi="宋体"/>
          <w:szCs w:val="21"/>
        </w:rPr>
      </w:pPr>
      <w:r>
        <w:rPr>
          <w:rFonts w:hint="eastAsia" w:ascii="Calibri" w:hAnsi="宋体"/>
          <w:szCs w:val="21"/>
        </w:rPr>
        <w:t>（7）总供给与总需求模型</w:t>
      </w:r>
    </w:p>
    <w:p>
      <w:pPr>
        <w:snapToGrid w:val="0"/>
        <w:spacing w:line="400" w:lineRule="exact"/>
        <w:ind w:left="210" w:leftChars="100" w:firstLine="315" w:firstLineChars="150"/>
        <w:rPr>
          <w:rFonts w:hint="eastAsia" w:ascii="Calibri" w:hAnsi="Calibri"/>
          <w:szCs w:val="21"/>
        </w:rPr>
      </w:pPr>
      <w:r>
        <w:rPr>
          <w:rFonts w:hint="eastAsia" w:ascii="Calibri" w:hAnsi="宋体"/>
          <w:szCs w:val="21"/>
        </w:rPr>
        <w:t>（8）</w:t>
      </w:r>
      <w:r>
        <w:rPr>
          <w:rFonts w:ascii="Calibri" w:hAnsi="宋体"/>
          <w:szCs w:val="21"/>
        </w:rPr>
        <w:t>财政货币政策工具及其效应</w:t>
      </w:r>
    </w:p>
    <w:p>
      <w:pPr>
        <w:snapToGrid w:val="0"/>
        <w:spacing w:line="400" w:lineRule="exact"/>
        <w:ind w:firstLine="525" w:firstLineChars="250"/>
        <w:rPr>
          <w:rFonts w:ascii="Calibri" w:hAnsi="宋体"/>
          <w:szCs w:val="21"/>
        </w:rPr>
      </w:pPr>
      <w:r>
        <w:rPr>
          <w:rFonts w:hint="eastAsia" w:ascii="Calibri" w:hAnsi="宋体"/>
          <w:szCs w:val="21"/>
        </w:rPr>
        <w:t>（9）</w:t>
      </w:r>
      <w:r>
        <w:rPr>
          <w:rFonts w:ascii="Calibri" w:hAnsi="宋体"/>
          <w:szCs w:val="21"/>
        </w:rPr>
        <w:t xml:space="preserve"> 赤字、失业与通货膨胀</w:t>
      </w:r>
    </w:p>
    <w:p>
      <w:pPr>
        <w:snapToGrid w:val="0"/>
        <w:spacing w:line="400" w:lineRule="exact"/>
        <w:ind w:firstLine="630" w:firstLineChars="300"/>
        <w:rPr>
          <w:rFonts w:hint="eastAsia" w:ascii="Calibri" w:hAnsi="宋体"/>
          <w:szCs w:val="21"/>
        </w:rPr>
      </w:pPr>
      <w:r>
        <w:rPr>
          <w:rFonts w:hint="eastAsia" w:ascii="Calibri" w:hAnsi="宋体"/>
          <w:szCs w:val="21"/>
        </w:rPr>
        <w:t>(10)  开放条件下产品市场、货币市场与国际收支均衡理论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1A88"/>
    <w:multiLevelType w:val="multilevel"/>
    <w:tmpl w:val="14D01A88"/>
    <w:lvl w:ilvl="0" w:tentative="0">
      <w:start w:val="1"/>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5F353E80"/>
    <w:multiLevelType w:val="multilevel"/>
    <w:tmpl w:val="5F353E80"/>
    <w:lvl w:ilvl="0" w:tentative="0">
      <w:start w:val="1"/>
      <w:numFmt w:val="decimal"/>
      <w:lvlText w:val="（%1）"/>
      <w:lvlJc w:val="left"/>
      <w:pPr>
        <w:ind w:left="1710" w:hanging="720"/>
      </w:pPr>
      <w:rPr>
        <w:rFonts w:hint="default"/>
      </w:rPr>
    </w:lvl>
    <w:lvl w:ilvl="1" w:tentative="0">
      <w:start w:val="1"/>
      <w:numFmt w:val="lowerLetter"/>
      <w:lvlText w:val="%2)"/>
      <w:lvlJc w:val="left"/>
      <w:pPr>
        <w:ind w:left="1830" w:hanging="420"/>
      </w:pPr>
    </w:lvl>
    <w:lvl w:ilvl="2" w:tentative="0">
      <w:start w:val="1"/>
      <w:numFmt w:val="lowerRoman"/>
      <w:lvlText w:val="%3."/>
      <w:lvlJc w:val="right"/>
      <w:pPr>
        <w:ind w:left="2250" w:hanging="420"/>
      </w:pPr>
    </w:lvl>
    <w:lvl w:ilvl="3" w:tentative="0">
      <w:start w:val="1"/>
      <w:numFmt w:val="decimal"/>
      <w:lvlText w:val="%4."/>
      <w:lvlJc w:val="left"/>
      <w:pPr>
        <w:ind w:left="2670" w:hanging="420"/>
      </w:pPr>
    </w:lvl>
    <w:lvl w:ilvl="4" w:tentative="0">
      <w:start w:val="1"/>
      <w:numFmt w:val="lowerLetter"/>
      <w:lvlText w:val="%5)"/>
      <w:lvlJc w:val="left"/>
      <w:pPr>
        <w:ind w:left="3090" w:hanging="420"/>
      </w:pPr>
    </w:lvl>
    <w:lvl w:ilvl="5" w:tentative="0">
      <w:start w:val="1"/>
      <w:numFmt w:val="lowerRoman"/>
      <w:lvlText w:val="%6."/>
      <w:lvlJc w:val="right"/>
      <w:pPr>
        <w:ind w:left="3510" w:hanging="420"/>
      </w:pPr>
    </w:lvl>
    <w:lvl w:ilvl="6" w:tentative="0">
      <w:start w:val="1"/>
      <w:numFmt w:val="decimal"/>
      <w:lvlText w:val="%7."/>
      <w:lvlJc w:val="left"/>
      <w:pPr>
        <w:ind w:left="3930" w:hanging="420"/>
      </w:pPr>
    </w:lvl>
    <w:lvl w:ilvl="7" w:tentative="0">
      <w:start w:val="1"/>
      <w:numFmt w:val="lowerLetter"/>
      <w:lvlText w:val="%8)"/>
      <w:lvlJc w:val="left"/>
      <w:pPr>
        <w:ind w:left="4350" w:hanging="420"/>
      </w:pPr>
    </w:lvl>
    <w:lvl w:ilvl="8" w:tentative="0">
      <w:start w:val="1"/>
      <w:numFmt w:val="lowerRoman"/>
      <w:lvlText w:val="%9."/>
      <w:lvlJc w:val="right"/>
      <w:pPr>
        <w:ind w:left="477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F9"/>
    <w:rsid w:val="000014F3"/>
    <w:rsid w:val="00004E1A"/>
    <w:rsid w:val="00014395"/>
    <w:rsid w:val="000217A5"/>
    <w:rsid w:val="00023F30"/>
    <w:rsid w:val="00025AB8"/>
    <w:rsid w:val="00025FC1"/>
    <w:rsid w:val="00027A4E"/>
    <w:rsid w:val="000310F9"/>
    <w:rsid w:val="00034B28"/>
    <w:rsid w:val="0004103C"/>
    <w:rsid w:val="00043DF6"/>
    <w:rsid w:val="0004428A"/>
    <w:rsid w:val="00052C9F"/>
    <w:rsid w:val="000662CF"/>
    <w:rsid w:val="00070019"/>
    <w:rsid w:val="00070C15"/>
    <w:rsid w:val="0007451D"/>
    <w:rsid w:val="00081B8D"/>
    <w:rsid w:val="00083062"/>
    <w:rsid w:val="00083AEE"/>
    <w:rsid w:val="00084CF3"/>
    <w:rsid w:val="000B03D1"/>
    <w:rsid w:val="000B53DC"/>
    <w:rsid w:val="000C1885"/>
    <w:rsid w:val="000C36CC"/>
    <w:rsid w:val="000D09F1"/>
    <w:rsid w:val="000D2B0F"/>
    <w:rsid w:val="000D4C43"/>
    <w:rsid w:val="000D67FE"/>
    <w:rsid w:val="000E137D"/>
    <w:rsid w:val="000E3901"/>
    <w:rsid w:val="000E7A51"/>
    <w:rsid w:val="000F2E29"/>
    <w:rsid w:val="000F2E5C"/>
    <w:rsid w:val="00102C24"/>
    <w:rsid w:val="00110816"/>
    <w:rsid w:val="00111CDF"/>
    <w:rsid w:val="0012452C"/>
    <w:rsid w:val="00130436"/>
    <w:rsid w:val="00131FD6"/>
    <w:rsid w:val="0013259F"/>
    <w:rsid w:val="00134F37"/>
    <w:rsid w:val="00135F25"/>
    <w:rsid w:val="00136E0C"/>
    <w:rsid w:val="00140285"/>
    <w:rsid w:val="00141C5D"/>
    <w:rsid w:val="0014454C"/>
    <w:rsid w:val="00151B2A"/>
    <w:rsid w:val="00152C22"/>
    <w:rsid w:val="001539F2"/>
    <w:rsid w:val="001561ED"/>
    <w:rsid w:val="00162F15"/>
    <w:rsid w:val="001843A4"/>
    <w:rsid w:val="00184B5E"/>
    <w:rsid w:val="001A5D50"/>
    <w:rsid w:val="001A75ED"/>
    <w:rsid w:val="001B3A95"/>
    <w:rsid w:val="001C1374"/>
    <w:rsid w:val="001C3E98"/>
    <w:rsid w:val="001C3EEE"/>
    <w:rsid w:val="001C7CFF"/>
    <w:rsid w:val="001D4B1A"/>
    <w:rsid w:val="001D639B"/>
    <w:rsid w:val="001E0479"/>
    <w:rsid w:val="001E37A4"/>
    <w:rsid w:val="001E561F"/>
    <w:rsid w:val="001F27A4"/>
    <w:rsid w:val="001F33BD"/>
    <w:rsid w:val="002033A1"/>
    <w:rsid w:val="002069FF"/>
    <w:rsid w:val="00211790"/>
    <w:rsid w:val="002279A3"/>
    <w:rsid w:val="0024430A"/>
    <w:rsid w:val="00244D9F"/>
    <w:rsid w:val="00250934"/>
    <w:rsid w:val="00253E71"/>
    <w:rsid w:val="0025403E"/>
    <w:rsid w:val="002613D0"/>
    <w:rsid w:val="00262AF4"/>
    <w:rsid w:val="0026492F"/>
    <w:rsid w:val="0026637F"/>
    <w:rsid w:val="00267323"/>
    <w:rsid w:val="00272757"/>
    <w:rsid w:val="00274263"/>
    <w:rsid w:val="002745B0"/>
    <w:rsid w:val="00286A91"/>
    <w:rsid w:val="00294E53"/>
    <w:rsid w:val="002956C8"/>
    <w:rsid w:val="00296DCA"/>
    <w:rsid w:val="002A2993"/>
    <w:rsid w:val="002A3EEC"/>
    <w:rsid w:val="002A7288"/>
    <w:rsid w:val="002B469A"/>
    <w:rsid w:val="002B7675"/>
    <w:rsid w:val="002C3176"/>
    <w:rsid w:val="002C53B6"/>
    <w:rsid w:val="002D0D16"/>
    <w:rsid w:val="002D6094"/>
    <w:rsid w:val="002D6C73"/>
    <w:rsid w:val="002F77F8"/>
    <w:rsid w:val="0030660B"/>
    <w:rsid w:val="003108AA"/>
    <w:rsid w:val="00314464"/>
    <w:rsid w:val="003167B7"/>
    <w:rsid w:val="003266A8"/>
    <w:rsid w:val="00332B0A"/>
    <w:rsid w:val="00333707"/>
    <w:rsid w:val="00337453"/>
    <w:rsid w:val="00341128"/>
    <w:rsid w:val="00350B54"/>
    <w:rsid w:val="00350D23"/>
    <w:rsid w:val="0035447E"/>
    <w:rsid w:val="003547AD"/>
    <w:rsid w:val="00360566"/>
    <w:rsid w:val="003652B6"/>
    <w:rsid w:val="003809E3"/>
    <w:rsid w:val="003825B9"/>
    <w:rsid w:val="0038264F"/>
    <w:rsid w:val="00386AF0"/>
    <w:rsid w:val="0039156D"/>
    <w:rsid w:val="00391E46"/>
    <w:rsid w:val="003946E3"/>
    <w:rsid w:val="003A1483"/>
    <w:rsid w:val="003A3143"/>
    <w:rsid w:val="003A444F"/>
    <w:rsid w:val="003A6975"/>
    <w:rsid w:val="003C03B8"/>
    <w:rsid w:val="003C28BB"/>
    <w:rsid w:val="003C3A26"/>
    <w:rsid w:val="003C5F13"/>
    <w:rsid w:val="003C634A"/>
    <w:rsid w:val="003C7ED9"/>
    <w:rsid w:val="003D2E5B"/>
    <w:rsid w:val="003D33A3"/>
    <w:rsid w:val="003E1E66"/>
    <w:rsid w:val="003F2F99"/>
    <w:rsid w:val="003F71D7"/>
    <w:rsid w:val="004033C6"/>
    <w:rsid w:val="00405486"/>
    <w:rsid w:val="00410F24"/>
    <w:rsid w:val="00411BC2"/>
    <w:rsid w:val="00421F1B"/>
    <w:rsid w:val="0042605C"/>
    <w:rsid w:val="00432E6A"/>
    <w:rsid w:val="00436590"/>
    <w:rsid w:val="004372F0"/>
    <w:rsid w:val="00442AA9"/>
    <w:rsid w:val="004466C9"/>
    <w:rsid w:val="00446E7B"/>
    <w:rsid w:val="00447199"/>
    <w:rsid w:val="00451BC9"/>
    <w:rsid w:val="00453717"/>
    <w:rsid w:val="0045629D"/>
    <w:rsid w:val="0045726C"/>
    <w:rsid w:val="00463595"/>
    <w:rsid w:val="0046660D"/>
    <w:rsid w:val="00473536"/>
    <w:rsid w:val="00493F4F"/>
    <w:rsid w:val="00497605"/>
    <w:rsid w:val="004B6684"/>
    <w:rsid w:val="004B7024"/>
    <w:rsid w:val="004D3BD7"/>
    <w:rsid w:val="004E290B"/>
    <w:rsid w:val="004E2DB6"/>
    <w:rsid w:val="004E5FBC"/>
    <w:rsid w:val="004E631D"/>
    <w:rsid w:val="004F3104"/>
    <w:rsid w:val="004F5359"/>
    <w:rsid w:val="004F5C82"/>
    <w:rsid w:val="004F6535"/>
    <w:rsid w:val="004F73AF"/>
    <w:rsid w:val="004F7B8B"/>
    <w:rsid w:val="00501B88"/>
    <w:rsid w:val="00502A60"/>
    <w:rsid w:val="0050529F"/>
    <w:rsid w:val="0051087F"/>
    <w:rsid w:val="005154AF"/>
    <w:rsid w:val="00525AB0"/>
    <w:rsid w:val="00527134"/>
    <w:rsid w:val="00533D7C"/>
    <w:rsid w:val="005352B7"/>
    <w:rsid w:val="00537B44"/>
    <w:rsid w:val="0054168B"/>
    <w:rsid w:val="00541C1F"/>
    <w:rsid w:val="00543979"/>
    <w:rsid w:val="005523F1"/>
    <w:rsid w:val="00555DC3"/>
    <w:rsid w:val="005573BE"/>
    <w:rsid w:val="00557E15"/>
    <w:rsid w:val="00562468"/>
    <w:rsid w:val="005771E0"/>
    <w:rsid w:val="00581FD7"/>
    <w:rsid w:val="00586D95"/>
    <w:rsid w:val="005874F5"/>
    <w:rsid w:val="005903C7"/>
    <w:rsid w:val="00593FBF"/>
    <w:rsid w:val="005954D2"/>
    <w:rsid w:val="005972C0"/>
    <w:rsid w:val="005A0202"/>
    <w:rsid w:val="005C29E9"/>
    <w:rsid w:val="005C3AE0"/>
    <w:rsid w:val="005D1C7C"/>
    <w:rsid w:val="005D1FFD"/>
    <w:rsid w:val="005D54ED"/>
    <w:rsid w:val="005E0171"/>
    <w:rsid w:val="005E4A39"/>
    <w:rsid w:val="005E4DCE"/>
    <w:rsid w:val="005E5F4D"/>
    <w:rsid w:val="005F12E3"/>
    <w:rsid w:val="005F2809"/>
    <w:rsid w:val="005F77F9"/>
    <w:rsid w:val="00600D55"/>
    <w:rsid w:val="00605A99"/>
    <w:rsid w:val="0060647B"/>
    <w:rsid w:val="00607C03"/>
    <w:rsid w:val="00611403"/>
    <w:rsid w:val="00622D67"/>
    <w:rsid w:val="00623397"/>
    <w:rsid w:val="006315BA"/>
    <w:rsid w:val="006367C8"/>
    <w:rsid w:val="00642E12"/>
    <w:rsid w:val="00653F06"/>
    <w:rsid w:val="00660088"/>
    <w:rsid w:val="006623AE"/>
    <w:rsid w:val="0069229B"/>
    <w:rsid w:val="00695E7D"/>
    <w:rsid w:val="00696B46"/>
    <w:rsid w:val="006A69B3"/>
    <w:rsid w:val="006B0538"/>
    <w:rsid w:val="006B1B1D"/>
    <w:rsid w:val="006C3C05"/>
    <w:rsid w:val="006D1247"/>
    <w:rsid w:val="006E00A4"/>
    <w:rsid w:val="006E5E16"/>
    <w:rsid w:val="006E73B7"/>
    <w:rsid w:val="006E7557"/>
    <w:rsid w:val="006E765C"/>
    <w:rsid w:val="00702981"/>
    <w:rsid w:val="00704AE8"/>
    <w:rsid w:val="007078DE"/>
    <w:rsid w:val="00707BA3"/>
    <w:rsid w:val="00713722"/>
    <w:rsid w:val="007176DA"/>
    <w:rsid w:val="00717DC6"/>
    <w:rsid w:val="00720A3B"/>
    <w:rsid w:val="00724A7E"/>
    <w:rsid w:val="007273E9"/>
    <w:rsid w:val="007304E1"/>
    <w:rsid w:val="00732FA4"/>
    <w:rsid w:val="00733697"/>
    <w:rsid w:val="007474AA"/>
    <w:rsid w:val="00752579"/>
    <w:rsid w:val="0075351A"/>
    <w:rsid w:val="007657D4"/>
    <w:rsid w:val="00772803"/>
    <w:rsid w:val="007728D6"/>
    <w:rsid w:val="00775FB5"/>
    <w:rsid w:val="007820BB"/>
    <w:rsid w:val="00782C9C"/>
    <w:rsid w:val="00784443"/>
    <w:rsid w:val="00792BB0"/>
    <w:rsid w:val="00795533"/>
    <w:rsid w:val="007A6D3E"/>
    <w:rsid w:val="007B796B"/>
    <w:rsid w:val="007C32F8"/>
    <w:rsid w:val="007C46AA"/>
    <w:rsid w:val="007C6C16"/>
    <w:rsid w:val="007D2307"/>
    <w:rsid w:val="007D7151"/>
    <w:rsid w:val="007E1656"/>
    <w:rsid w:val="007E4DEC"/>
    <w:rsid w:val="007F17F0"/>
    <w:rsid w:val="007F1B65"/>
    <w:rsid w:val="007F3641"/>
    <w:rsid w:val="007F36F5"/>
    <w:rsid w:val="007F7C77"/>
    <w:rsid w:val="008029E0"/>
    <w:rsid w:val="00804FCB"/>
    <w:rsid w:val="00810D9A"/>
    <w:rsid w:val="00811A35"/>
    <w:rsid w:val="00811FAD"/>
    <w:rsid w:val="00817FB2"/>
    <w:rsid w:val="00825EE6"/>
    <w:rsid w:val="00835CDC"/>
    <w:rsid w:val="00841BD3"/>
    <w:rsid w:val="0084492E"/>
    <w:rsid w:val="0085088B"/>
    <w:rsid w:val="008578A2"/>
    <w:rsid w:val="00863066"/>
    <w:rsid w:val="008733EC"/>
    <w:rsid w:val="00885C8C"/>
    <w:rsid w:val="008878DE"/>
    <w:rsid w:val="00894450"/>
    <w:rsid w:val="00897C24"/>
    <w:rsid w:val="00897D3A"/>
    <w:rsid w:val="008A0115"/>
    <w:rsid w:val="008A0FCB"/>
    <w:rsid w:val="008A676B"/>
    <w:rsid w:val="008B0FF9"/>
    <w:rsid w:val="008C070E"/>
    <w:rsid w:val="008C2C8A"/>
    <w:rsid w:val="008C4F47"/>
    <w:rsid w:val="008D283C"/>
    <w:rsid w:val="008E3F69"/>
    <w:rsid w:val="008F2152"/>
    <w:rsid w:val="0090671D"/>
    <w:rsid w:val="00910B47"/>
    <w:rsid w:val="00915126"/>
    <w:rsid w:val="00917C46"/>
    <w:rsid w:val="00924E6B"/>
    <w:rsid w:val="00932359"/>
    <w:rsid w:val="00933E64"/>
    <w:rsid w:val="00937184"/>
    <w:rsid w:val="00941BCC"/>
    <w:rsid w:val="0094340F"/>
    <w:rsid w:val="00944FC5"/>
    <w:rsid w:val="0095496D"/>
    <w:rsid w:val="00962164"/>
    <w:rsid w:val="00965FAB"/>
    <w:rsid w:val="00967055"/>
    <w:rsid w:val="00967361"/>
    <w:rsid w:val="009723AE"/>
    <w:rsid w:val="00987BCA"/>
    <w:rsid w:val="00992059"/>
    <w:rsid w:val="009A3710"/>
    <w:rsid w:val="009A3765"/>
    <w:rsid w:val="009A584D"/>
    <w:rsid w:val="009D05C4"/>
    <w:rsid w:val="009E363E"/>
    <w:rsid w:val="009E41B6"/>
    <w:rsid w:val="009F6B97"/>
    <w:rsid w:val="00A023A2"/>
    <w:rsid w:val="00A03D4C"/>
    <w:rsid w:val="00A04506"/>
    <w:rsid w:val="00A054EA"/>
    <w:rsid w:val="00A10A4F"/>
    <w:rsid w:val="00A1152E"/>
    <w:rsid w:val="00A1217B"/>
    <w:rsid w:val="00A15E36"/>
    <w:rsid w:val="00A227E3"/>
    <w:rsid w:val="00A229B4"/>
    <w:rsid w:val="00A23C7C"/>
    <w:rsid w:val="00A249C1"/>
    <w:rsid w:val="00A256C0"/>
    <w:rsid w:val="00A30B23"/>
    <w:rsid w:val="00A410D5"/>
    <w:rsid w:val="00A46686"/>
    <w:rsid w:val="00A57E5F"/>
    <w:rsid w:val="00A70DFB"/>
    <w:rsid w:val="00A85108"/>
    <w:rsid w:val="00A96C3D"/>
    <w:rsid w:val="00A97EB6"/>
    <w:rsid w:val="00AA1429"/>
    <w:rsid w:val="00AA3E9E"/>
    <w:rsid w:val="00AA48BF"/>
    <w:rsid w:val="00AA7D2D"/>
    <w:rsid w:val="00AA7E7C"/>
    <w:rsid w:val="00AB2127"/>
    <w:rsid w:val="00AB3CF7"/>
    <w:rsid w:val="00AB4378"/>
    <w:rsid w:val="00AE4104"/>
    <w:rsid w:val="00AE51A5"/>
    <w:rsid w:val="00AF1966"/>
    <w:rsid w:val="00B00148"/>
    <w:rsid w:val="00B03823"/>
    <w:rsid w:val="00B10F38"/>
    <w:rsid w:val="00B4190F"/>
    <w:rsid w:val="00B53B86"/>
    <w:rsid w:val="00B706CB"/>
    <w:rsid w:val="00B74C5A"/>
    <w:rsid w:val="00B8402C"/>
    <w:rsid w:val="00B93CB5"/>
    <w:rsid w:val="00BA2EEB"/>
    <w:rsid w:val="00BB4EED"/>
    <w:rsid w:val="00BC28A3"/>
    <w:rsid w:val="00BC3844"/>
    <w:rsid w:val="00BC6D95"/>
    <w:rsid w:val="00BC7AD8"/>
    <w:rsid w:val="00BE357A"/>
    <w:rsid w:val="00BE7C24"/>
    <w:rsid w:val="00BF4D73"/>
    <w:rsid w:val="00C00B87"/>
    <w:rsid w:val="00C012C0"/>
    <w:rsid w:val="00C0249B"/>
    <w:rsid w:val="00C04FFE"/>
    <w:rsid w:val="00C10B0B"/>
    <w:rsid w:val="00C1716F"/>
    <w:rsid w:val="00C22A9C"/>
    <w:rsid w:val="00C259B3"/>
    <w:rsid w:val="00C27569"/>
    <w:rsid w:val="00C31E57"/>
    <w:rsid w:val="00C32988"/>
    <w:rsid w:val="00C358EB"/>
    <w:rsid w:val="00C401DD"/>
    <w:rsid w:val="00C42177"/>
    <w:rsid w:val="00C45C9D"/>
    <w:rsid w:val="00C61A91"/>
    <w:rsid w:val="00C6395F"/>
    <w:rsid w:val="00C67F00"/>
    <w:rsid w:val="00C73D43"/>
    <w:rsid w:val="00C748FC"/>
    <w:rsid w:val="00C80904"/>
    <w:rsid w:val="00C85DDB"/>
    <w:rsid w:val="00C8657F"/>
    <w:rsid w:val="00CA0559"/>
    <w:rsid w:val="00CA2FBA"/>
    <w:rsid w:val="00CA3A38"/>
    <w:rsid w:val="00CA7C9E"/>
    <w:rsid w:val="00CC1F58"/>
    <w:rsid w:val="00CD0077"/>
    <w:rsid w:val="00CD03CD"/>
    <w:rsid w:val="00CD53F8"/>
    <w:rsid w:val="00CE19E4"/>
    <w:rsid w:val="00CE6D38"/>
    <w:rsid w:val="00CF15F3"/>
    <w:rsid w:val="00CF1661"/>
    <w:rsid w:val="00CF270A"/>
    <w:rsid w:val="00CF6CB1"/>
    <w:rsid w:val="00D02E46"/>
    <w:rsid w:val="00D04309"/>
    <w:rsid w:val="00D161C8"/>
    <w:rsid w:val="00D20ACC"/>
    <w:rsid w:val="00D21CAB"/>
    <w:rsid w:val="00D2318F"/>
    <w:rsid w:val="00D24474"/>
    <w:rsid w:val="00D24E15"/>
    <w:rsid w:val="00D26454"/>
    <w:rsid w:val="00D271C2"/>
    <w:rsid w:val="00D307F3"/>
    <w:rsid w:val="00D309B7"/>
    <w:rsid w:val="00D30A72"/>
    <w:rsid w:val="00D37ECB"/>
    <w:rsid w:val="00D41311"/>
    <w:rsid w:val="00D4241D"/>
    <w:rsid w:val="00D445C9"/>
    <w:rsid w:val="00D62DF8"/>
    <w:rsid w:val="00D63BA1"/>
    <w:rsid w:val="00D77106"/>
    <w:rsid w:val="00D772B0"/>
    <w:rsid w:val="00D82A30"/>
    <w:rsid w:val="00D82BDE"/>
    <w:rsid w:val="00D841E6"/>
    <w:rsid w:val="00D8708E"/>
    <w:rsid w:val="00D92091"/>
    <w:rsid w:val="00D97572"/>
    <w:rsid w:val="00DA4583"/>
    <w:rsid w:val="00DA4BFB"/>
    <w:rsid w:val="00DB3D55"/>
    <w:rsid w:val="00DB7A03"/>
    <w:rsid w:val="00DD7F45"/>
    <w:rsid w:val="00DF002F"/>
    <w:rsid w:val="00E055B3"/>
    <w:rsid w:val="00E10D8E"/>
    <w:rsid w:val="00E1129D"/>
    <w:rsid w:val="00E134A4"/>
    <w:rsid w:val="00E24352"/>
    <w:rsid w:val="00E27C59"/>
    <w:rsid w:val="00E32269"/>
    <w:rsid w:val="00E323D8"/>
    <w:rsid w:val="00E333BF"/>
    <w:rsid w:val="00E37420"/>
    <w:rsid w:val="00E5679C"/>
    <w:rsid w:val="00E61C15"/>
    <w:rsid w:val="00E6419F"/>
    <w:rsid w:val="00E70529"/>
    <w:rsid w:val="00E7147D"/>
    <w:rsid w:val="00E72070"/>
    <w:rsid w:val="00E747C3"/>
    <w:rsid w:val="00E74BC6"/>
    <w:rsid w:val="00E8557C"/>
    <w:rsid w:val="00E94B36"/>
    <w:rsid w:val="00E9602A"/>
    <w:rsid w:val="00E9635A"/>
    <w:rsid w:val="00E97F90"/>
    <w:rsid w:val="00EA0336"/>
    <w:rsid w:val="00EB6A41"/>
    <w:rsid w:val="00EB7B3C"/>
    <w:rsid w:val="00EC04A7"/>
    <w:rsid w:val="00EC3893"/>
    <w:rsid w:val="00ED6186"/>
    <w:rsid w:val="00EE0F46"/>
    <w:rsid w:val="00EE272E"/>
    <w:rsid w:val="00EE4F09"/>
    <w:rsid w:val="00EF2988"/>
    <w:rsid w:val="00EF509E"/>
    <w:rsid w:val="00F01FA1"/>
    <w:rsid w:val="00F0395E"/>
    <w:rsid w:val="00F03A64"/>
    <w:rsid w:val="00F04EF9"/>
    <w:rsid w:val="00F15E2E"/>
    <w:rsid w:val="00F20DFE"/>
    <w:rsid w:val="00F217D3"/>
    <w:rsid w:val="00F31F10"/>
    <w:rsid w:val="00F323D7"/>
    <w:rsid w:val="00F6170E"/>
    <w:rsid w:val="00F84C46"/>
    <w:rsid w:val="00F8711F"/>
    <w:rsid w:val="00F92819"/>
    <w:rsid w:val="00F9650A"/>
    <w:rsid w:val="00F97E5D"/>
    <w:rsid w:val="00FA4D8D"/>
    <w:rsid w:val="00FB0CD3"/>
    <w:rsid w:val="00FB7005"/>
    <w:rsid w:val="00FC4D8D"/>
    <w:rsid w:val="00FD10CA"/>
    <w:rsid w:val="00FD1A20"/>
    <w:rsid w:val="00FE2471"/>
    <w:rsid w:val="00FE708D"/>
    <w:rsid w:val="119970EA"/>
    <w:rsid w:val="3A4D6BA7"/>
    <w:rsid w:val="6C070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0"/>
    <w:rPr>
      <w:kern w:val="2"/>
      <w:sz w:val="18"/>
      <w:szCs w:val="18"/>
    </w:rPr>
  </w:style>
  <w:style w:type="character" w:customStyle="1" w:styleId="7">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Words>
  <Characters>545</Characters>
  <Lines>4</Lines>
  <Paragraphs>1</Paragraphs>
  <TotalTime>0</TotalTime>
  <ScaleCrop>false</ScaleCrop>
  <LinksUpToDate>false</LinksUpToDate>
  <CharactersWithSpaces>639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2021-07-16T01:23:00Z</dcterms:created>
  <dc:creator>山东大学研究生招生办公室;dell</dc:creator>
  <dc:description>山东大学2011年硕士研究生入学考试自命题考试大纲</dc:description>
  <cp:keywords>2011年硕士研究生入学考试考试大纲</cp:keywords>
  <cp:lastModifiedBy>Administrator</cp:lastModifiedBy>
  <dcterms:modified xsi:type="dcterms:W3CDTF">2021-09-17T06:43:17Z</dcterms:modified>
  <dc:title>807西方经济学考试大纲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