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434-国际商务专业基础</w:t>
      </w:r>
    </w:p>
    <w:p>
      <w:pPr>
        <w:jc w:val="center"/>
        <w:rPr>
          <w:rFonts w:hint="eastAsia" w:ascii="黑体" w:hAnsi="宋体" w:eastAsia="黑体"/>
          <w:szCs w:val="21"/>
        </w:rPr>
      </w:pPr>
    </w:p>
    <w:p>
      <w:pPr>
        <w:spacing w:line="400" w:lineRule="exact"/>
        <w:rPr>
          <w:rFonts w:hint="eastAsia" w:ascii="黑体" w:hAnsi="宋体" w:eastAsia="黑体"/>
          <w:szCs w:val="21"/>
        </w:rPr>
      </w:pPr>
      <w:r>
        <w:rPr>
          <w:rFonts w:hint="eastAsia" w:ascii="黑体" w:hAnsi="宋体" w:eastAsia="黑体"/>
          <w:szCs w:val="21"/>
        </w:rPr>
        <w:t>一、考试性质</w:t>
      </w:r>
    </w:p>
    <w:p>
      <w:pPr>
        <w:spacing w:line="400" w:lineRule="exact"/>
        <w:ind w:firstLine="420" w:firstLineChars="200"/>
        <w:rPr>
          <w:rFonts w:hint="eastAsia" w:ascii="宋体" w:hAnsi="宋体"/>
          <w:szCs w:val="21"/>
        </w:rPr>
      </w:pPr>
      <w:r>
        <w:rPr>
          <w:rFonts w:hint="eastAsia" w:ascii="宋体" w:hAnsi="宋体"/>
          <w:szCs w:val="21"/>
        </w:rPr>
        <w:t>《国际商务专业基础》是</w:t>
      </w:r>
      <w:r>
        <w:rPr>
          <w:rFonts w:hint="eastAsia" w:ascii="Calibri" w:hAnsi="Calibri"/>
          <w:color w:val="000000"/>
          <w:szCs w:val="21"/>
        </w:rPr>
        <w:t>2011</w:t>
      </w:r>
      <w:r>
        <w:rPr>
          <w:rFonts w:hint="eastAsia" w:ascii="宋体" w:hAnsi="宋体"/>
          <w:szCs w:val="21"/>
        </w:rPr>
        <w:t>年国际商务硕士</w:t>
      </w:r>
      <w:r>
        <w:rPr>
          <w:rFonts w:hint="eastAsia" w:ascii="Calibri" w:hAnsi="Calibri"/>
          <w:color w:val="000000"/>
          <w:szCs w:val="21"/>
        </w:rPr>
        <w:t>（MIB）</w:t>
      </w:r>
      <w:r>
        <w:rPr>
          <w:rFonts w:hint="eastAsia" w:ascii="宋体" w:hAnsi="宋体"/>
          <w:szCs w:val="21"/>
        </w:rPr>
        <w:t>专业学位研究生入学统一考试的科目之一。《国际商务专业基础》考试要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pPr>
        <w:spacing w:line="400" w:lineRule="exact"/>
        <w:rPr>
          <w:rFonts w:ascii="宋体" w:hAnsi="宋体"/>
          <w:szCs w:val="21"/>
        </w:rPr>
      </w:pPr>
    </w:p>
    <w:p>
      <w:pPr>
        <w:spacing w:line="400" w:lineRule="exact"/>
        <w:rPr>
          <w:rFonts w:hint="eastAsia" w:ascii="黑体" w:hAnsi="宋体" w:eastAsia="黑体"/>
          <w:szCs w:val="21"/>
        </w:rPr>
      </w:pPr>
      <w:r>
        <w:rPr>
          <w:rFonts w:hint="eastAsia" w:ascii="黑体" w:hAnsi="宋体" w:eastAsia="黑体"/>
          <w:szCs w:val="21"/>
        </w:rPr>
        <w:t>二、考试要求</w:t>
      </w:r>
    </w:p>
    <w:p>
      <w:pPr>
        <w:spacing w:line="400" w:lineRule="exact"/>
        <w:ind w:firstLine="420" w:firstLineChars="200"/>
        <w:rPr>
          <w:rFonts w:hint="eastAsia" w:ascii="宋体" w:hAnsi="宋体"/>
          <w:szCs w:val="21"/>
        </w:rPr>
      </w:pPr>
      <w:r>
        <w:rPr>
          <w:rFonts w:hint="eastAsia" w:ascii="宋体" w:hAnsi="宋体"/>
          <w:szCs w:val="21"/>
        </w:rPr>
        <w:t>测试考生对于国际商务相关的基本概念、基本理论、基础知识的掌握情况以及综合运用分析和解决国际商务现实问题的能力。</w:t>
      </w:r>
    </w:p>
    <w:p>
      <w:pPr>
        <w:spacing w:line="400" w:lineRule="exact"/>
        <w:rPr>
          <w:rFonts w:ascii="宋体" w:hAnsi="宋体"/>
          <w:szCs w:val="21"/>
        </w:rPr>
      </w:pPr>
    </w:p>
    <w:p>
      <w:pPr>
        <w:spacing w:line="400" w:lineRule="exact"/>
        <w:rPr>
          <w:rFonts w:hint="eastAsia" w:ascii="黑体" w:hAnsi="宋体" w:eastAsia="黑体"/>
          <w:szCs w:val="21"/>
        </w:rPr>
      </w:pPr>
      <w:r>
        <w:rPr>
          <w:rFonts w:hint="eastAsia" w:ascii="黑体" w:hAnsi="宋体" w:eastAsia="黑体"/>
          <w:szCs w:val="21"/>
        </w:rPr>
        <w:t>三、考试方式与分值</w:t>
      </w:r>
    </w:p>
    <w:p>
      <w:pPr>
        <w:spacing w:line="400" w:lineRule="exact"/>
        <w:ind w:firstLine="420" w:firstLineChars="200"/>
        <w:rPr>
          <w:rFonts w:hint="eastAsia" w:ascii="宋体" w:hAnsi="宋体"/>
          <w:szCs w:val="21"/>
        </w:rPr>
      </w:pPr>
      <w:r>
        <w:rPr>
          <w:rFonts w:hint="eastAsia" w:ascii="宋体" w:hAnsi="宋体"/>
          <w:szCs w:val="21"/>
        </w:rPr>
        <w:t>本科目满分</w:t>
      </w:r>
      <w:r>
        <w:rPr>
          <w:rFonts w:hint="eastAsia" w:ascii="Calibri" w:hAnsi="Calibri"/>
          <w:color w:val="000000"/>
          <w:szCs w:val="21"/>
        </w:rPr>
        <w:t>150</w:t>
      </w:r>
      <w:r>
        <w:rPr>
          <w:rFonts w:hint="eastAsia" w:ascii="宋体" w:hAnsi="宋体"/>
          <w:szCs w:val="21"/>
        </w:rPr>
        <w:t>分，由各培养单位自行命题，全国统一考试。答题方式为闭卷、笔试。考试</w:t>
      </w:r>
      <w:r>
        <w:rPr>
          <w:rFonts w:hint="eastAsia" w:ascii="Calibri" w:hAnsi="Calibri"/>
          <w:color w:val="000000"/>
          <w:szCs w:val="21"/>
        </w:rPr>
        <w:t>时间180分</w:t>
      </w:r>
      <w:r>
        <w:rPr>
          <w:rFonts w:hint="eastAsia" w:ascii="宋体" w:hAnsi="宋体"/>
          <w:szCs w:val="21"/>
        </w:rPr>
        <w:t>钟。</w:t>
      </w:r>
    </w:p>
    <w:p>
      <w:pPr>
        <w:spacing w:line="400" w:lineRule="exact"/>
        <w:rPr>
          <w:rFonts w:ascii="宋体" w:hAnsi="宋体"/>
          <w:szCs w:val="21"/>
        </w:rPr>
      </w:pPr>
    </w:p>
    <w:p>
      <w:pPr>
        <w:spacing w:line="400" w:lineRule="exact"/>
        <w:rPr>
          <w:rFonts w:hint="eastAsia" w:ascii="黑体" w:hAnsi="宋体" w:eastAsia="黑体"/>
          <w:szCs w:val="21"/>
        </w:rPr>
      </w:pPr>
      <w:r>
        <w:rPr>
          <w:rFonts w:hint="eastAsia" w:ascii="黑体" w:hAnsi="宋体" w:eastAsia="黑体"/>
          <w:szCs w:val="21"/>
        </w:rPr>
        <w:t>四、考试内容</w:t>
      </w:r>
    </w:p>
    <w:p>
      <w:pPr>
        <w:spacing w:line="400" w:lineRule="exact"/>
        <w:ind w:left="420" w:leftChars="200"/>
        <w:rPr>
          <w:rFonts w:hint="eastAsia" w:ascii="黑体" w:hAnsi="宋体" w:eastAsia="黑体"/>
          <w:szCs w:val="21"/>
        </w:rPr>
      </w:pPr>
      <w:r>
        <w:rPr>
          <w:rFonts w:hint="eastAsia" w:ascii="黑体" w:hAnsi="宋体" w:eastAsia="黑体"/>
          <w:szCs w:val="21"/>
        </w:rPr>
        <w:t>（一）国际贸易理论与政策</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w:t>
      </w:r>
      <w:r>
        <w:rPr>
          <w:rFonts w:hint="eastAsia" w:ascii="宋体" w:hAnsi="宋体"/>
          <w:szCs w:val="21"/>
        </w:rPr>
        <w:t>际贸易理论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w:t>
      </w:r>
      <w:r>
        <w:rPr>
          <w:rFonts w:hint="eastAsia" w:ascii="宋体" w:hAnsi="宋体"/>
          <w:szCs w:val="21"/>
        </w:rPr>
        <w:t>绝对优势与比较优势论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2）要素</w:t>
      </w:r>
      <w:r>
        <w:rPr>
          <w:rFonts w:hint="eastAsia" w:ascii="宋体" w:hAnsi="宋体"/>
          <w:szCs w:val="21"/>
        </w:rPr>
        <w:t>禀赋论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3）贸易</w:t>
      </w:r>
      <w:r>
        <w:rPr>
          <w:rFonts w:hint="eastAsia" w:ascii="宋体" w:hAnsi="宋体"/>
          <w:szCs w:val="21"/>
        </w:rPr>
        <w:t>保护理论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贸易新理论</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国际贸</w:t>
      </w:r>
      <w:r>
        <w:rPr>
          <w:rFonts w:hint="eastAsia" w:ascii="宋体" w:hAnsi="宋体"/>
          <w:szCs w:val="21"/>
        </w:rPr>
        <w:t>易政策与壁垒</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1）关</w:t>
      </w:r>
      <w:r>
        <w:rPr>
          <w:rFonts w:hint="eastAsia" w:ascii="宋体" w:hAnsi="宋体"/>
          <w:szCs w:val="21"/>
        </w:rPr>
        <w:t>税措施</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2）非关</w:t>
      </w:r>
      <w:r>
        <w:rPr>
          <w:rFonts w:hint="eastAsia" w:ascii="宋体" w:hAnsi="宋体"/>
          <w:szCs w:val="21"/>
        </w:rPr>
        <w:t>税措施</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3）国际</w:t>
      </w:r>
      <w:r>
        <w:rPr>
          <w:rFonts w:hint="eastAsia" w:ascii="宋体" w:hAnsi="宋体"/>
          <w:szCs w:val="21"/>
        </w:rPr>
        <w:t>贸易摩擦</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贸易中的知识产权保护与环境保护政策</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货</w:t>
      </w:r>
      <w:r>
        <w:rPr>
          <w:rFonts w:hint="eastAsia" w:ascii="宋体" w:hAnsi="宋体"/>
          <w:szCs w:val="21"/>
        </w:rPr>
        <w:t>物贸易与服务贸易</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1）货物</w:t>
      </w:r>
      <w:r>
        <w:rPr>
          <w:rFonts w:hint="eastAsia" w:ascii="宋体" w:hAnsi="宋体"/>
          <w:szCs w:val="21"/>
        </w:rPr>
        <w:t>贸易及其类型</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2）服</w:t>
      </w:r>
      <w:r>
        <w:rPr>
          <w:rFonts w:hint="eastAsia" w:ascii="宋体" w:hAnsi="宋体"/>
          <w:szCs w:val="21"/>
        </w:rPr>
        <w:t>务贸易与服务外包</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3）技术</w:t>
      </w:r>
      <w:r>
        <w:rPr>
          <w:rFonts w:hint="eastAsia" w:ascii="宋体" w:hAnsi="宋体"/>
          <w:szCs w:val="21"/>
        </w:rPr>
        <w:t>贸易与国际劳务合作</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4）国际贸</w:t>
      </w:r>
      <w:r>
        <w:rPr>
          <w:rFonts w:hint="eastAsia" w:ascii="宋体" w:hAnsi="宋体"/>
          <w:szCs w:val="21"/>
        </w:rPr>
        <w:t>易的创新方式</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4. 区域经济</w:t>
      </w:r>
      <w:r>
        <w:rPr>
          <w:rFonts w:hint="eastAsia" w:ascii="宋体" w:hAnsi="宋体"/>
          <w:szCs w:val="21"/>
        </w:rPr>
        <w:t>一体化与多边贸易体制</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1）经</w:t>
      </w:r>
      <w:r>
        <w:rPr>
          <w:rFonts w:hint="eastAsia" w:ascii="宋体" w:hAnsi="宋体"/>
          <w:szCs w:val="21"/>
        </w:rPr>
        <w:t>济全球化与世界贸易组织</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2）欧洲</w:t>
      </w:r>
      <w:r>
        <w:rPr>
          <w:rFonts w:hint="eastAsia" w:ascii="宋体" w:hAnsi="宋体"/>
          <w:szCs w:val="21"/>
        </w:rPr>
        <w:t>一体化实践</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3）其</w:t>
      </w:r>
      <w:r>
        <w:rPr>
          <w:rFonts w:hint="eastAsia" w:ascii="宋体" w:hAnsi="宋体"/>
          <w:szCs w:val="21"/>
        </w:rPr>
        <w:t>他区域自由贸易安排</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4）中国</w:t>
      </w:r>
      <w:r>
        <w:rPr>
          <w:rFonts w:hint="eastAsia" w:ascii="宋体" w:hAnsi="宋体"/>
          <w:szCs w:val="21"/>
        </w:rPr>
        <w:t>的区域经济合作实践</w:t>
      </w:r>
    </w:p>
    <w:p>
      <w:pPr>
        <w:spacing w:line="400" w:lineRule="exact"/>
        <w:ind w:left="420" w:leftChars="200"/>
        <w:rPr>
          <w:rFonts w:hint="eastAsia" w:ascii="黑体" w:hAnsi="宋体" w:eastAsia="黑体"/>
          <w:szCs w:val="21"/>
        </w:rPr>
      </w:pPr>
      <w:r>
        <w:rPr>
          <w:rFonts w:hint="eastAsia" w:ascii="宋体" w:hAnsi="宋体"/>
          <w:szCs w:val="21"/>
        </w:rPr>
        <w:t>（</w:t>
      </w:r>
      <w:r>
        <w:rPr>
          <w:rFonts w:hint="eastAsia" w:ascii="黑体" w:hAnsi="宋体" w:eastAsia="黑体"/>
          <w:szCs w:val="21"/>
        </w:rPr>
        <w:t>二）国际直接投资与跨国公司</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w:t>
      </w:r>
      <w:r>
        <w:rPr>
          <w:rFonts w:hint="eastAsia" w:ascii="宋体" w:hAnsi="宋体"/>
          <w:szCs w:val="21"/>
        </w:rPr>
        <w:t>际直接投资与跨国公司</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w:t>
      </w:r>
      <w:r>
        <w:rPr>
          <w:rFonts w:hint="eastAsia" w:ascii="宋体" w:hAnsi="宋体"/>
          <w:szCs w:val="21"/>
        </w:rPr>
        <w:t>际直接投资与跨国公司理论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2）水</w:t>
      </w:r>
      <w:r>
        <w:rPr>
          <w:rFonts w:hint="eastAsia" w:ascii="宋体" w:hAnsi="宋体"/>
          <w:szCs w:val="21"/>
        </w:rPr>
        <w:t>平与垂直型对外直接投资</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3）跨国</w:t>
      </w:r>
      <w:r>
        <w:rPr>
          <w:rFonts w:hint="eastAsia" w:ascii="宋体" w:hAnsi="宋体"/>
          <w:szCs w:val="21"/>
        </w:rPr>
        <w:t>公司发展及其主要类型</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4）中国</w:t>
      </w:r>
      <w:r>
        <w:rPr>
          <w:rFonts w:hint="eastAsia" w:ascii="宋体" w:hAnsi="宋体"/>
          <w:szCs w:val="21"/>
        </w:rPr>
        <w:t>式跨国公司的理论与实践</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企业</w:t>
      </w:r>
      <w:r>
        <w:rPr>
          <w:rFonts w:hint="eastAsia" w:ascii="宋体" w:hAnsi="宋体"/>
          <w:szCs w:val="21"/>
        </w:rPr>
        <w:t>对外直接投资的战略决策</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1）对外</w:t>
      </w:r>
      <w:r>
        <w:rPr>
          <w:rFonts w:hint="eastAsia" w:ascii="宋体" w:hAnsi="宋体"/>
          <w:szCs w:val="21"/>
        </w:rPr>
        <w:t>直接投资的选址决策</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2）对</w:t>
      </w:r>
      <w:r>
        <w:rPr>
          <w:rFonts w:hint="eastAsia" w:ascii="宋体" w:hAnsi="宋体"/>
          <w:szCs w:val="21"/>
        </w:rPr>
        <w:t>外直接投资的时机决策</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w:t>
      </w:r>
      <w:r>
        <w:rPr>
          <w:rFonts w:hint="eastAsia" w:ascii="宋体" w:hAnsi="宋体"/>
          <w:szCs w:val="21"/>
        </w:rPr>
        <w:t>对外直接投资进入模式决策</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对</w:t>
      </w:r>
      <w:r>
        <w:rPr>
          <w:rFonts w:hint="eastAsia" w:ascii="宋体" w:hAnsi="宋体"/>
          <w:szCs w:val="21"/>
        </w:rPr>
        <w:t>外直接投资的母国与东道国效应</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1）对</w:t>
      </w:r>
      <w:r>
        <w:rPr>
          <w:rFonts w:hint="eastAsia" w:ascii="宋体" w:hAnsi="宋体"/>
          <w:szCs w:val="21"/>
        </w:rPr>
        <w:t>外直接投资与母国利益和代价</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w:t>
      </w:r>
      <w:r>
        <w:rPr>
          <w:rFonts w:hint="eastAsia" w:ascii="宋体" w:hAnsi="宋体"/>
          <w:szCs w:val="21"/>
        </w:rPr>
        <w:t>对外直接投资与东道国效应</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w:t>
      </w:r>
      <w:r>
        <w:rPr>
          <w:rFonts w:hint="eastAsia" w:ascii="宋体" w:hAnsi="宋体"/>
          <w:szCs w:val="21"/>
        </w:rPr>
        <w:t>对外直接投资中的政府行为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企业与政府的议价能力</w:t>
      </w:r>
    </w:p>
    <w:p>
      <w:pPr>
        <w:spacing w:line="400" w:lineRule="exact"/>
        <w:ind w:left="420" w:leftChars="200"/>
        <w:rPr>
          <w:rFonts w:hint="eastAsia" w:ascii="黑体" w:hAnsi="宋体" w:eastAsia="黑体"/>
          <w:szCs w:val="21"/>
        </w:rPr>
      </w:pPr>
      <w:r>
        <w:rPr>
          <w:rFonts w:hint="eastAsia" w:ascii="黑体" w:hAnsi="宋体" w:eastAsia="黑体"/>
          <w:szCs w:val="21"/>
        </w:rPr>
        <w:t>（三）国际金融</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国际</w:t>
      </w:r>
      <w:r>
        <w:rPr>
          <w:rFonts w:hint="eastAsia" w:ascii="宋体" w:hAnsi="宋体"/>
          <w:szCs w:val="21"/>
        </w:rPr>
        <w:t>货币体系与汇率制度</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1）金</w:t>
      </w:r>
      <w:r>
        <w:rPr>
          <w:rFonts w:hint="eastAsia" w:ascii="宋体" w:hAnsi="宋体"/>
          <w:szCs w:val="21"/>
        </w:rPr>
        <w:t>本位制度</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2）布雷</w:t>
      </w:r>
      <w:r>
        <w:rPr>
          <w:rFonts w:hint="eastAsia" w:ascii="宋体" w:hAnsi="宋体"/>
          <w:szCs w:val="21"/>
        </w:rPr>
        <w:t>顿森林体系</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3）浮动</w:t>
      </w:r>
      <w:r>
        <w:rPr>
          <w:rFonts w:hint="eastAsia" w:ascii="宋体" w:hAnsi="宋体"/>
          <w:szCs w:val="21"/>
        </w:rPr>
        <w:t>汇率制度</w:t>
      </w:r>
    </w:p>
    <w:p>
      <w:pPr>
        <w:spacing w:line="400" w:lineRule="exact"/>
        <w:ind w:left="420" w:leftChars="200" w:firstLine="420" w:firstLineChars="200"/>
        <w:rPr>
          <w:rFonts w:hint="eastAsia" w:ascii="Calibri" w:hAnsi="Calibri"/>
          <w:color w:val="000000"/>
          <w:szCs w:val="21"/>
        </w:rPr>
      </w:pPr>
      <w:r>
        <w:rPr>
          <w:rFonts w:hint="eastAsia" w:ascii="Calibri" w:hAnsi="Calibri"/>
          <w:color w:val="000000"/>
          <w:szCs w:val="21"/>
        </w:rPr>
        <w:t>4）国际货币体系及其改革</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5）人</w:t>
      </w:r>
      <w:r>
        <w:rPr>
          <w:rFonts w:hint="eastAsia" w:ascii="宋体" w:hAnsi="宋体"/>
          <w:szCs w:val="21"/>
        </w:rPr>
        <w:t>民币汇率改革</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外</w:t>
      </w:r>
      <w:r>
        <w:rPr>
          <w:rFonts w:hint="eastAsia" w:ascii="宋体" w:hAnsi="宋体"/>
          <w:szCs w:val="21"/>
        </w:rPr>
        <w:t>汇市场、外汇业务与风险</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1）外汇</w:t>
      </w:r>
      <w:r>
        <w:rPr>
          <w:rFonts w:hint="eastAsia" w:ascii="宋体" w:hAnsi="宋体"/>
          <w:szCs w:val="21"/>
        </w:rPr>
        <w:t>市场与外汇业务</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2）汇率</w:t>
      </w:r>
      <w:r>
        <w:rPr>
          <w:rFonts w:hint="eastAsia" w:ascii="宋体" w:hAnsi="宋体"/>
          <w:szCs w:val="21"/>
        </w:rPr>
        <w:t>决定</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3）外</w:t>
      </w:r>
      <w:r>
        <w:rPr>
          <w:rFonts w:hint="eastAsia" w:ascii="宋体" w:hAnsi="宋体"/>
          <w:szCs w:val="21"/>
        </w:rPr>
        <w:t>汇风险</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国际</w:t>
      </w:r>
      <w:r>
        <w:rPr>
          <w:rFonts w:hint="eastAsia" w:ascii="宋体" w:hAnsi="宋体"/>
          <w:szCs w:val="21"/>
        </w:rPr>
        <w:t>金融市场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w:t>
      </w:r>
      <w:r>
        <w:rPr>
          <w:rFonts w:hint="eastAsia" w:ascii="宋体" w:hAnsi="宋体"/>
          <w:szCs w:val="21"/>
        </w:rPr>
        <w:t>际金融市场概述</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2）货</w:t>
      </w:r>
      <w:r>
        <w:rPr>
          <w:rFonts w:hint="eastAsia" w:ascii="宋体" w:hAnsi="宋体"/>
          <w:szCs w:val="21"/>
        </w:rPr>
        <w:t>币市场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3）债</w:t>
      </w:r>
      <w:r>
        <w:rPr>
          <w:rFonts w:hint="eastAsia" w:ascii="宋体" w:hAnsi="宋体"/>
          <w:szCs w:val="21"/>
        </w:rPr>
        <w:t>券市场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4）股权</w:t>
      </w:r>
      <w:r>
        <w:rPr>
          <w:rFonts w:hint="eastAsia" w:ascii="宋体" w:hAnsi="宋体"/>
          <w:szCs w:val="21"/>
        </w:rPr>
        <w:t>市场</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4. 国际</w:t>
      </w:r>
      <w:r>
        <w:rPr>
          <w:rFonts w:hint="eastAsia" w:ascii="宋体" w:hAnsi="宋体"/>
          <w:szCs w:val="21"/>
        </w:rPr>
        <w:t>金融危机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1）90年代</w:t>
      </w:r>
      <w:r>
        <w:rPr>
          <w:rFonts w:hint="eastAsia" w:ascii="宋体" w:hAnsi="宋体"/>
          <w:szCs w:val="21"/>
        </w:rPr>
        <w:t>以来的国际金融危机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2）国际金</w:t>
      </w:r>
      <w:r>
        <w:rPr>
          <w:rFonts w:hint="eastAsia" w:ascii="宋体" w:hAnsi="宋体"/>
          <w:szCs w:val="21"/>
        </w:rPr>
        <w:t>融危机背景下的商务环境</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3）国际</w:t>
      </w:r>
      <w:r>
        <w:rPr>
          <w:rFonts w:hint="eastAsia" w:ascii="宋体" w:hAnsi="宋体"/>
          <w:szCs w:val="21"/>
        </w:rPr>
        <w:t>金融创新</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金融体系改革</w:t>
      </w:r>
    </w:p>
    <w:p>
      <w:pPr>
        <w:spacing w:line="400" w:lineRule="exact"/>
        <w:ind w:left="420" w:leftChars="200"/>
        <w:rPr>
          <w:rFonts w:hint="eastAsia" w:ascii="黑体" w:hAnsi="宋体" w:eastAsia="黑体"/>
          <w:szCs w:val="21"/>
        </w:rPr>
      </w:pPr>
      <w:r>
        <w:rPr>
          <w:rFonts w:hint="eastAsia" w:ascii="黑体" w:hAnsi="宋体" w:eastAsia="黑体"/>
          <w:szCs w:val="21"/>
        </w:rPr>
        <w:t>（四）国际商务环境与运营</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w:t>
      </w:r>
      <w:r>
        <w:rPr>
          <w:rFonts w:hint="eastAsia" w:ascii="宋体" w:hAnsi="宋体"/>
          <w:szCs w:val="21"/>
        </w:rPr>
        <w:t>际商务环境</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1）国际</w:t>
      </w:r>
      <w:r>
        <w:rPr>
          <w:rFonts w:hint="eastAsia" w:ascii="宋体" w:hAnsi="宋体"/>
          <w:szCs w:val="21"/>
        </w:rPr>
        <w:t>商务文化环境</w:t>
      </w:r>
    </w:p>
    <w:p>
      <w:pPr>
        <w:spacing w:line="400" w:lineRule="exact"/>
        <w:ind w:left="420" w:leftChars="200" w:firstLine="420" w:firstLineChars="200"/>
        <w:rPr>
          <w:rFonts w:hint="eastAsia" w:ascii="Calibri" w:hAnsi="Calibri"/>
          <w:color w:val="000000"/>
          <w:szCs w:val="21"/>
        </w:rPr>
      </w:pPr>
      <w:r>
        <w:rPr>
          <w:rFonts w:hint="eastAsia" w:ascii="Calibri" w:hAnsi="Calibri"/>
          <w:color w:val="000000"/>
          <w:szCs w:val="21"/>
        </w:rPr>
        <w:t>2）政治、法律和商业伦理</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国际营</w:t>
      </w:r>
      <w:r>
        <w:rPr>
          <w:rFonts w:hint="eastAsia" w:ascii="宋体" w:hAnsi="宋体"/>
          <w:szCs w:val="21"/>
        </w:rPr>
        <w:t>销</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w:t>
      </w:r>
      <w:r>
        <w:rPr>
          <w:rFonts w:hint="eastAsia" w:ascii="宋体" w:hAnsi="宋体"/>
          <w:szCs w:val="21"/>
        </w:rPr>
        <w:t>目标市场选择</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2）营</w:t>
      </w:r>
      <w:r>
        <w:rPr>
          <w:rFonts w:hint="eastAsia" w:ascii="宋体" w:hAnsi="宋体"/>
          <w:szCs w:val="21"/>
        </w:rPr>
        <w:t>销管理</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国际</w:t>
      </w:r>
      <w:r>
        <w:rPr>
          <w:rFonts w:hint="eastAsia" w:ascii="宋体" w:hAnsi="宋体"/>
          <w:szCs w:val="21"/>
        </w:rPr>
        <w:t>物流与供应链管理</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w:t>
      </w:r>
      <w:r>
        <w:rPr>
          <w:rFonts w:hint="eastAsia" w:ascii="宋体" w:hAnsi="宋体"/>
          <w:szCs w:val="21"/>
        </w:rPr>
        <w:t>际物流定义与问题</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2）国</w:t>
      </w:r>
      <w:r>
        <w:rPr>
          <w:rFonts w:hint="eastAsia" w:ascii="宋体" w:hAnsi="宋体"/>
          <w:szCs w:val="21"/>
        </w:rPr>
        <w:t>际物流与供应链管理</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4. 国际</w:t>
      </w:r>
      <w:r>
        <w:rPr>
          <w:rFonts w:hint="eastAsia" w:ascii="宋体" w:hAnsi="宋体"/>
          <w:szCs w:val="21"/>
        </w:rPr>
        <w:t>会计与税收</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1）跨国</w:t>
      </w:r>
      <w:r>
        <w:rPr>
          <w:rFonts w:hint="eastAsia" w:ascii="宋体" w:hAnsi="宋体"/>
          <w:szCs w:val="21"/>
        </w:rPr>
        <w:t>间主要会计差异</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2）国际</w:t>
      </w:r>
      <w:r>
        <w:rPr>
          <w:rFonts w:hint="eastAsia" w:ascii="宋体" w:hAnsi="宋体"/>
          <w:szCs w:val="21"/>
        </w:rPr>
        <w:t>税收</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7D"/>
    <w:rsid w:val="000423BA"/>
    <w:rsid w:val="00052B75"/>
    <w:rsid w:val="000D4D3B"/>
    <w:rsid w:val="001870F1"/>
    <w:rsid w:val="001935EA"/>
    <w:rsid w:val="00217FF5"/>
    <w:rsid w:val="00262485"/>
    <w:rsid w:val="0027679F"/>
    <w:rsid w:val="0028307F"/>
    <w:rsid w:val="00315C26"/>
    <w:rsid w:val="003C1792"/>
    <w:rsid w:val="00437F6A"/>
    <w:rsid w:val="004645CA"/>
    <w:rsid w:val="0049167D"/>
    <w:rsid w:val="004B2FF1"/>
    <w:rsid w:val="004C1C09"/>
    <w:rsid w:val="00536635"/>
    <w:rsid w:val="00573E1B"/>
    <w:rsid w:val="00590AB7"/>
    <w:rsid w:val="005A632E"/>
    <w:rsid w:val="006056AB"/>
    <w:rsid w:val="006063F8"/>
    <w:rsid w:val="006252CB"/>
    <w:rsid w:val="00627A2E"/>
    <w:rsid w:val="006B6D4F"/>
    <w:rsid w:val="006C1A89"/>
    <w:rsid w:val="006E28D8"/>
    <w:rsid w:val="00700701"/>
    <w:rsid w:val="00735340"/>
    <w:rsid w:val="00757EB5"/>
    <w:rsid w:val="00792A66"/>
    <w:rsid w:val="007C129B"/>
    <w:rsid w:val="007D6B8B"/>
    <w:rsid w:val="00803E93"/>
    <w:rsid w:val="00830730"/>
    <w:rsid w:val="00842449"/>
    <w:rsid w:val="0086255B"/>
    <w:rsid w:val="009510F4"/>
    <w:rsid w:val="00952194"/>
    <w:rsid w:val="009C4102"/>
    <w:rsid w:val="009E3267"/>
    <w:rsid w:val="00A00688"/>
    <w:rsid w:val="00A1791E"/>
    <w:rsid w:val="00A70815"/>
    <w:rsid w:val="00A74F37"/>
    <w:rsid w:val="00A823D0"/>
    <w:rsid w:val="00A939A1"/>
    <w:rsid w:val="00AC5CB0"/>
    <w:rsid w:val="00AE7541"/>
    <w:rsid w:val="00B42679"/>
    <w:rsid w:val="00B76D86"/>
    <w:rsid w:val="00B8661A"/>
    <w:rsid w:val="00BB0C9A"/>
    <w:rsid w:val="00BB6DB8"/>
    <w:rsid w:val="00BC5D90"/>
    <w:rsid w:val="00C145B1"/>
    <w:rsid w:val="00C230E2"/>
    <w:rsid w:val="00C47F5C"/>
    <w:rsid w:val="00CA03BB"/>
    <w:rsid w:val="00CA2F7D"/>
    <w:rsid w:val="00D15EEF"/>
    <w:rsid w:val="00D42CA8"/>
    <w:rsid w:val="00D61537"/>
    <w:rsid w:val="00D63B0D"/>
    <w:rsid w:val="00DA595A"/>
    <w:rsid w:val="00DC6EE1"/>
    <w:rsid w:val="00E0092A"/>
    <w:rsid w:val="00E93CF5"/>
    <w:rsid w:val="00EA218A"/>
    <w:rsid w:val="00EA3938"/>
    <w:rsid w:val="00F04FFB"/>
    <w:rsid w:val="00F21167"/>
    <w:rsid w:val="00F559DA"/>
    <w:rsid w:val="00FB118C"/>
    <w:rsid w:val="2F1E1135"/>
    <w:rsid w:val="356D52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6">
    <w:name w:val="annotation subject"/>
    <w:basedOn w:val="2"/>
    <w:next w:val="2"/>
    <w:semiHidden/>
    <w:uiPriority w:val="0"/>
    <w:rPr>
      <w:b/>
      <w:bCs/>
    </w:rPr>
  </w:style>
  <w:style w:type="character" w:styleId="9">
    <w:name w:val="Strong"/>
    <w:qFormat/>
    <w:uiPriority w:val="0"/>
    <w:rPr>
      <w:b/>
      <w:bCs/>
    </w:rPr>
  </w:style>
  <w:style w:type="character" w:styleId="10">
    <w:name w:val="page number"/>
    <w:basedOn w:val="8"/>
    <w:uiPriority w:val="0"/>
  </w:style>
  <w:style w:type="character" w:styleId="11">
    <w:name w:val="annotation reference"/>
    <w:semiHidden/>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1020</Characters>
  <Lines>8</Lines>
  <Paragraphs>2</Paragraphs>
  <TotalTime>0</TotalTime>
  <ScaleCrop>false</ScaleCrop>
  <LinksUpToDate>false</LinksUpToDate>
  <CharactersWithSpaces>1196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2010-08-31T07:33:00Z</dcterms:created>
  <dc:creator>山东大学研究生招生办公室; dell</dc:creator>
  <dc:description>山东大学2011年硕士研究生入学考试自命题考试大纲</dc:description>
  <cp:keywords>2011年硕士研究生入学考试考试大纲</cp:keywords>
  <cp:lastModifiedBy>Administrator</cp:lastModifiedBy>
  <dcterms:modified xsi:type="dcterms:W3CDTF">2021-09-17T06:42:13Z</dcterms:modified>
  <dc:title>2011年专业学位研究生入学统一考试</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