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《食品化学》研究生入学考试大纲</w:t>
      </w:r>
    </w:p>
    <w:p>
      <w:pPr>
        <w:rPr>
          <w:rFonts w:hint="eastAsia"/>
          <w:color w:val="auto"/>
        </w:rPr>
      </w:pP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考试科目的名称：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食品化学 </w:t>
      </w:r>
      <w:r>
        <w:rPr>
          <w:rFonts w:hint="eastAsia"/>
          <w:szCs w:val="21"/>
        </w:rPr>
        <w:t>考试时间3小时 ，总分150分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二、科目代码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三、考试重点：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掌握水和冰的结构和性质、水与溶质的相互作用、食品中水的存在状态、水分活度、水分吸湿等温线、水分活度和食品稳定性关系。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掌握碳水化合物的分类、单糖的化学反应、非酶褐变反应、单糖和低聚糖在食品中的功能、多糖的性质和在食品中的功能、淀粉的糊化和老化及其在食品加工中的应用。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掌握脂质分类、脂质的功能、脂肪的结构和组成、脂肪酸的组成分布；掌握油脂的物理性质、油脂的化学性质、油脂的质量评价、油脂加工的原理和方法、高温下油脂的劣化。 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4.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掌握氨基酸的物理化学性质、蛋白质的结构和一般性质、蛋白质的变性、蛋白质的功能性质、蛋白质在加工中的物理、化学及营养变化。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5.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掌握酶的本质、酶的命名、酶的分布、酶的钝化、影响酶活力的因素、固定化酶、食品原料中内源酶的作用及其对食品质量的影响、作为食品加工助剂和配料使用的酶以及酶在食品分析中的应用。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6.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掌握矿物质、水溶性维生素和脂溶性维生素的物理化学性质及其在食品加工、贮藏中所发生的物理化学变化以及对食品品质产生的影响；了解食品中常见维生素的测定方法、食品中常见矿物质的原子吸收分析法。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7.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掌握常见食品天然色素的化学结构以及基本的物理化学性质及其、在食品贮藏加工中发生的重要变化；掌握酶促褐变机理。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8.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掌握化合物的气味与分子结构的关系、食品中香气形成的几种常见途径；掌握呈味机理及呈味物质在食品加工中的应用。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color w:val="auto"/>
        </w:rPr>
        <w:t> </w:t>
      </w:r>
      <w:r>
        <w:rPr>
          <w:rFonts w:hint="eastAsia"/>
          <w:sz w:val="24"/>
          <w:szCs w:val="24"/>
        </w:rPr>
        <w:t xml:space="preserve">四、题目类型： </w:t>
      </w:r>
      <w:r>
        <w:rPr>
          <w:rFonts w:hint="eastAsia"/>
          <w:sz w:val="24"/>
          <w:szCs w:val="24"/>
          <w:lang w:val="en-US" w:eastAsia="zh-CN"/>
        </w:rPr>
        <w:t>简答题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70分</w:t>
      </w:r>
      <w:r>
        <w:rPr>
          <w:rFonts w:hint="eastAsia"/>
          <w:sz w:val="24"/>
          <w:szCs w:val="24"/>
          <w:lang w:val="en-US" w:eastAsia="zh-CN"/>
        </w:rPr>
        <w:t>、论述题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50分</w:t>
      </w:r>
      <w:r>
        <w:rPr>
          <w:rFonts w:hint="eastAsia"/>
          <w:sz w:val="24"/>
          <w:szCs w:val="24"/>
          <w:lang w:val="en-US" w:eastAsia="zh-CN"/>
        </w:rPr>
        <w:t>、综合题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30分，</w:t>
      </w:r>
      <w:r>
        <w:rPr>
          <w:rFonts w:hint="eastAsia"/>
          <w:szCs w:val="21"/>
        </w:rPr>
        <w:t>共150分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>、参考书目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谢笔钧，《食品化学》(第3版)，科学出版社，2011年。</w:t>
      </w:r>
    </w:p>
    <w:p>
      <w:pPr>
        <w:rPr>
          <w:color w:val="auto"/>
        </w:rPr>
      </w:pP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样  卷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widowControl/>
        <w:numPr>
          <w:ilvl w:val="0"/>
          <w:numId w:val="2"/>
        </w:numPr>
        <w:spacing w:line="360" w:lineRule="auto"/>
        <w:ind w:leftChars="0"/>
        <w:jc w:val="left"/>
        <w:rPr>
          <w:rFonts w:hint="eastAsia" w:cs="宋体"/>
          <w:b w:val="0"/>
          <w:bCs/>
          <w:color w:val="auto"/>
          <w:lang w:val="en-US" w:eastAsia="zh-CN"/>
        </w:rPr>
      </w:pPr>
      <w:r>
        <w:rPr>
          <w:rFonts w:hint="eastAsia" w:cs="宋体"/>
          <w:b w:val="0"/>
          <w:bCs/>
          <w:color w:val="auto"/>
          <w:lang w:val="en-US" w:eastAsia="zh-CN"/>
        </w:rPr>
        <w:t>试述</w:t>
      </w:r>
      <w:r>
        <w:rPr>
          <w:rFonts w:hint="eastAsia" w:cs="宋体"/>
          <w:b w:val="0"/>
          <w:bCs/>
          <w:color w:val="auto"/>
        </w:rPr>
        <w:t>以淀粉为原料制备果葡糖浆（高果糖浆）的工艺过程及所使用的酶。</w:t>
      </w:r>
      <w:r>
        <w:rPr>
          <w:rFonts w:hint="eastAsia" w:cs="宋体"/>
          <w:b w:val="0"/>
          <w:bCs/>
          <w:color w:val="auto"/>
          <w:lang w:eastAsia="zh-CN"/>
        </w:rPr>
        <w:t>（</w:t>
      </w:r>
      <w:r>
        <w:rPr>
          <w:rFonts w:hint="eastAsia" w:cs="宋体"/>
          <w:b w:val="0"/>
          <w:bCs/>
          <w:color w:val="auto"/>
          <w:lang w:val="en-US" w:eastAsia="zh-CN"/>
        </w:rPr>
        <w:t>8分</w:t>
      </w:r>
      <w:r>
        <w:rPr>
          <w:rFonts w:hint="eastAsia" w:cs="宋体"/>
          <w:b w:val="0"/>
          <w:bCs/>
          <w:color w:val="auto"/>
          <w:lang w:eastAsia="zh-CN"/>
        </w:rPr>
        <w:t>）</w:t>
      </w:r>
    </w:p>
    <w:p>
      <w:pPr>
        <w:widowControl/>
        <w:numPr>
          <w:ilvl w:val="0"/>
          <w:numId w:val="2"/>
        </w:numPr>
        <w:spacing w:line="360" w:lineRule="auto"/>
        <w:ind w:leftChars="0"/>
        <w:jc w:val="left"/>
        <w:rPr>
          <w:rFonts w:hint="eastAsia" w:cs="宋体"/>
          <w:b w:val="0"/>
          <w:bCs/>
          <w:color w:val="auto"/>
          <w:lang w:val="en-US" w:eastAsia="zh-CN"/>
        </w:rPr>
      </w:pPr>
      <w:r>
        <w:rPr>
          <w:rFonts w:hint="eastAsia" w:cs="宋体"/>
          <w:b w:val="0"/>
          <w:bCs/>
          <w:color w:val="auto"/>
          <w:kern w:val="0"/>
        </w:rPr>
        <w:t>试述在绿色蔬菜罐头生产中护绿的方法及机理。</w:t>
      </w:r>
      <w:r>
        <w:rPr>
          <w:rFonts w:hint="eastAsia" w:cs="宋体"/>
          <w:b w:val="0"/>
          <w:bCs/>
          <w:color w:val="auto"/>
          <w:lang w:eastAsia="zh-CN"/>
        </w:rPr>
        <w:t>（</w:t>
      </w:r>
      <w:r>
        <w:rPr>
          <w:rFonts w:hint="eastAsia" w:cs="宋体"/>
          <w:b w:val="0"/>
          <w:bCs/>
          <w:color w:val="auto"/>
          <w:lang w:val="en-US" w:eastAsia="zh-CN"/>
        </w:rPr>
        <w:t>10分</w:t>
      </w:r>
      <w:r>
        <w:rPr>
          <w:rFonts w:hint="eastAsia" w:cs="宋体"/>
          <w:b w:val="0"/>
          <w:bCs/>
          <w:color w:val="auto"/>
          <w:lang w:eastAsia="zh-CN"/>
        </w:rPr>
        <w:t>）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. ****</w:t>
      </w:r>
    </w:p>
    <w:p>
      <w:pPr>
        <w:widowControl/>
        <w:spacing w:line="360" w:lineRule="exact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. ****</w:t>
      </w: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/>
          <w:szCs w:val="21"/>
        </w:rPr>
      </w:pP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cs="宋体"/>
          <w:b w:val="0"/>
          <w:bCs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D3B70"/>
    <w:multiLevelType w:val="singleLevel"/>
    <w:tmpl w:val="D5CD3B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126824E"/>
    <w:multiLevelType w:val="singleLevel"/>
    <w:tmpl w:val="212682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7"/>
    <w:rsid w:val="00082C97"/>
    <w:rsid w:val="000A5089"/>
    <w:rsid w:val="00123EF2"/>
    <w:rsid w:val="001A302F"/>
    <w:rsid w:val="001B40E4"/>
    <w:rsid w:val="002A0D20"/>
    <w:rsid w:val="002C7428"/>
    <w:rsid w:val="00357962"/>
    <w:rsid w:val="00396816"/>
    <w:rsid w:val="003E43B8"/>
    <w:rsid w:val="004306D8"/>
    <w:rsid w:val="00455F39"/>
    <w:rsid w:val="004924C8"/>
    <w:rsid w:val="004B316F"/>
    <w:rsid w:val="00514FB2"/>
    <w:rsid w:val="00522E98"/>
    <w:rsid w:val="005B5798"/>
    <w:rsid w:val="00614072"/>
    <w:rsid w:val="00632177"/>
    <w:rsid w:val="006B37AF"/>
    <w:rsid w:val="00723B9A"/>
    <w:rsid w:val="0073451E"/>
    <w:rsid w:val="00741E53"/>
    <w:rsid w:val="00767562"/>
    <w:rsid w:val="007F232E"/>
    <w:rsid w:val="00864D63"/>
    <w:rsid w:val="00877C5E"/>
    <w:rsid w:val="008B338A"/>
    <w:rsid w:val="009A36E3"/>
    <w:rsid w:val="00A3785A"/>
    <w:rsid w:val="00AB6FB6"/>
    <w:rsid w:val="00AC3346"/>
    <w:rsid w:val="00AE48B1"/>
    <w:rsid w:val="00B96A93"/>
    <w:rsid w:val="00BA171B"/>
    <w:rsid w:val="00BD4CA2"/>
    <w:rsid w:val="00C05FCE"/>
    <w:rsid w:val="00CF3D7B"/>
    <w:rsid w:val="00D20C8A"/>
    <w:rsid w:val="00D62CCD"/>
    <w:rsid w:val="00D95D39"/>
    <w:rsid w:val="00DE7B6E"/>
    <w:rsid w:val="00E076DF"/>
    <w:rsid w:val="00E32609"/>
    <w:rsid w:val="00EC27C3"/>
    <w:rsid w:val="00F11144"/>
    <w:rsid w:val="00F13A37"/>
    <w:rsid w:val="00F45AB8"/>
    <w:rsid w:val="00F54B0A"/>
    <w:rsid w:val="00F62D8D"/>
    <w:rsid w:val="00FE7561"/>
    <w:rsid w:val="051F7980"/>
    <w:rsid w:val="069247FE"/>
    <w:rsid w:val="0F557D97"/>
    <w:rsid w:val="13A44116"/>
    <w:rsid w:val="144D0DA1"/>
    <w:rsid w:val="156D55BB"/>
    <w:rsid w:val="205A0DF7"/>
    <w:rsid w:val="22B60C34"/>
    <w:rsid w:val="244C799D"/>
    <w:rsid w:val="2EFD1D08"/>
    <w:rsid w:val="33040012"/>
    <w:rsid w:val="34D74035"/>
    <w:rsid w:val="381D155A"/>
    <w:rsid w:val="45A05CF0"/>
    <w:rsid w:val="4D6627F0"/>
    <w:rsid w:val="4ED549BD"/>
    <w:rsid w:val="532B4B3B"/>
    <w:rsid w:val="5AB64FC4"/>
    <w:rsid w:val="61F6083F"/>
    <w:rsid w:val="655C3DE6"/>
    <w:rsid w:val="68697534"/>
    <w:rsid w:val="775A55B1"/>
    <w:rsid w:val="7BCA7976"/>
    <w:rsid w:val="7DD35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2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2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2-11 reader-word-s2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2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2-6 reader-word-s2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2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2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1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2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reader-word-layer reader-word-s2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ader-word-layer reader-word-s3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 reader-word-s3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1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1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2-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2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2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reader-word-layer reader-word-s3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reader-word-layer reader-word-s1-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reader-word-layer reader-word-s3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reader-word-layer reader-word-s3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reader-word-layer reader-word-s3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reader-word-layer reader-word-s1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reader-word-layer reader-word-s2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reader-word-layer reader-word-s3-3 reader-word-s3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reader-word-layer reader-word-s2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reader-word-layer reader-word-s2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reader-word-layer reader-word-s1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eader-word-layer reader-word-s2-0 reader-word-s2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reader-word-layer reader-word-s3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reader-word-layer reader-word-s2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8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49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2014-09-23T15:19:00Z</dcterms:created>
  <dc:creator>gd</dc:creator>
  <cp:lastModifiedBy>Administrator</cp:lastModifiedBy>
  <dcterms:modified xsi:type="dcterms:W3CDTF">2021-09-20T09:28:54Z</dcterms:modified>
  <dc:title>《食品化学》研究生入学考试大纲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6AA7ED06858F47E2A4DDC0FC5C108ADF</vt:lpwstr>
  </property>
</Properties>
</file>