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东北大学</w:t>
      </w:r>
      <w:r>
        <w:rPr>
          <w:rFonts w:hint="eastAsia" w:ascii="黑体" w:hAnsi="黑体" w:eastAsia="黑体" w:cs="黑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sz w:val="44"/>
          <w:szCs w:val="44"/>
        </w:rPr>
        <w:instrText xml:space="preserve">ADDIN CNKISM.UserStyle</w:instrText>
      </w:r>
      <w:r>
        <w:rPr>
          <w:rFonts w:hint="eastAsia" w:ascii="黑体" w:hAnsi="黑体" w:eastAsia="黑体" w:cs="黑体"/>
          <w:sz w:val="44"/>
          <w:szCs w:val="44"/>
        </w:rPr>
        <w:fldChar w:fldCharType="end"/>
      </w:r>
      <w:r>
        <w:rPr>
          <w:rFonts w:hint="eastAsia" w:ascii="黑体" w:hAnsi="黑体" w:eastAsia="黑体" w:cs="黑体"/>
          <w:sz w:val="44"/>
          <w:szCs w:val="44"/>
        </w:rPr>
        <w:t>2022年硕士研究生招生考试</w:t>
      </w:r>
    </w:p>
    <w:p>
      <w:pPr>
        <w:spacing w:line="360" w:lineRule="auto"/>
        <w:jc w:val="center"/>
        <w:rPr>
          <w:rFonts w:ascii="黑体" w:hAnsi="黑体" w:eastAsia="黑体" w:cs="黑体"/>
          <w:sz w:val="44"/>
          <w:szCs w:val="44"/>
        </w:rPr>
      </w:pPr>
      <w:r>
        <w:rPr>
          <w:rFonts w:hint="eastAsia" w:ascii="黑体" w:hAnsi="黑体" w:eastAsia="黑体" w:cs="黑体"/>
          <w:sz w:val="44"/>
          <w:szCs w:val="44"/>
        </w:rPr>
        <w:t>考试大纲</w:t>
      </w:r>
    </w:p>
    <w:p>
      <w:pPr>
        <w:spacing w:before="156" w:beforeLines="50" w:line="360" w:lineRule="auto"/>
        <w:jc w:val="center"/>
        <w:rPr>
          <w:rFonts w:ascii="黑体" w:hAnsi="黑体" w:eastAsia="黑体" w:cs="黑体"/>
          <w:sz w:val="32"/>
          <w:szCs w:val="32"/>
          <w:u w:val="thick"/>
        </w:rPr>
      </w:pPr>
      <w:r>
        <w:rPr>
          <w:rFonts w:hint="eastAsia" w:ascii="黑体" w:hAnsi="黑体" w:eastAsia="黑体" w:cs="黑体"/>
          <w:sz w:val="32"/>
          <w:szCs w:val="32"/>
        </w:rPr>
        <w:t>科目代码：</w:t>
      </w:r>
      <w:r>
        <w:rPr>
          <w:rFonts w:hint="eastAsia" w:ascii="黑体" w:hAnsi="黑体" w:eastAsia="黑体" w:cs="黑体"/>
          <w:sz w:val="32"/>
          <w:szCs w:val="32"/>
          <w:u w:val="thick"/>
        </w:rPr>
        <w:t>807</w:t>
      </w:r>
      <w:r>
        <w:rPr>
          <w:rFonts w:hint="eastAsia" w:ascii="黑体" w:hAnsi="黑体" w:eastAsia="黑体" w:cs="黑体"/>
          <w:sz w:val="32"/>
          <w:szCs w:val="32"/>
        </w:rPr>
        <w:t>；  科目名称：</w:t>
      </w:r>
      <w:r>
        <w:rPr>
          <w:rFonts w:hint="eastAsia" w:ascii="黑体" w:hAnsi="黑体" w:eastAsia="黑体" w:cs="黑体"/>
          <w:sz w:val="32"/>
          <w:szCs w:val="32"/>
          <w:u w:val="thick"/>
        </w:rPr>
        <w:t>毛泽东思想和中国特色社会主义理论体系概论</w:t>
      </w:r>
    </w:p>
    <w:p>
      <w:pPr>
        <w:spacing w:line="360" w:lineRule="auto"/>
        <w:rPr>
          <w:rFonts w:ascii="黑体" w:hAnsi="黑体" w:eastAsia="黑体" w:cs="黑体"/>
          <w:bCs/>
          <w:sz w:val="28"/>
          <w:szCs w:val="28"/>
        </w:rPr>
      </w:pPr>
      <w:r>
        <w:rPr>
          <w:rFonts w:hint="eastAsia" w:ascii="黑体" w:hAnsi="黑体" w:eastAsia="黑体" w:cs="黑体"/>
          <w:bCs/>
          <w:sz w:val="28"/>
          <w:szCs w:val="28"/>
        </w:rPr>
        <w:t>一、考试性质</w:t>
      </w:r>
    </w:p>
    <w:p>
      <w:pPr>
        <w:spacing w:line="560" w:lineRule="exact"/>
        <w:ind w:firstLine="560" w:firstLineChars="200"/>
        <w:rPr>
          <w:sz w:val="28"/>
          <w:szCs w:val="28"/>
        </w:rPr>
      </w:pPr>
      <w:r>
        <w:rPr>
          <w:rFonts w:hint="eastAsia" w:ascii="宋体" w:hAnsi="宋体" w:cs="宋体"/>
          <w:sz w:val="28"/>
          <w:szCs w:val="28"/>
        </w:rPr>
        <w:t>毛泽东思想和中国特色社会主义理论体系概论是马克思主义理论专业硕士生入学考试的业务课。考试对象为参加马克思主义理论专业2022年全国硕士研究生入学考试的准考考生。</w:t>
      </w:r>
    </w:p>
    <w:p>
      <w:pPr>
        <w:spacing w:line="560" w:lineRule="exact"/>
        <w:rPr>
          <w:rFonts w:ascii="黑体" w:hAnsi="黑体" w:eastAsia="黑体" w:cs="黑体"/>
          <w:bCs/>
          <w:sz w:val="28"/>
          <w:szCs w:val="28"/>
        </w:rPr>
      </w:pPr>
      <w:r>
        <w:rPr>
          <w:rFonts w:hint="eastAsia" w:ascii="黑体" w:hAnsi="黑体" w:eastAsia="黑体" w:cs="黑体"/>
          <w:bCs/>
          <w:sz w:val="28"/>
          <w:szCs w:val="28"/>
        </w:rPr>
        <w:t>二、考试形式与考试时间</w:t>
      </w:r>
    </w:p>
    <w:p>
      <w:pPr>
        <w:spacing w:line="360" w:lineRule="auto"/>
        <w:ind w:firstLine="560" w:firstLineChars="200"/>
        <w:rPr>
          <w:rFonts w:hint="eastAsia" w:eastAsia="宋体"/>
          <w:sz w:val="28"/>
          <w:szCs w:val="28"/>
          <w:lang w:eastAsia="zh-CN"/>
        </w:rPr>
      </w:pPr>
      <w:r>
        <w:rPr>
          <w:rFonts w:hint="eastAsia"/>
          <w:sz w:val="28"/>
          <w:szCs w:val="28"/>
        </w:rPr>
        <w:t>（一）考试形式：闭卷，笔试</w:t>
      </w:r>
      <w:r>
        <w:rPr>
          <w:rFonts w:hint="eastAsia"/>
          <w:sz w:val="28"/>
          <w:szCs w:val="28"/>
          <w:lang w:eastAsia="zh-CN"/>
        </w:rPr>
        <w:t>。</w:t>
      </w:r>
    </w:p>
    <w:p>
      <w:pPr>
        <w:spacing w:line="360" w:lineRule="auto"/>
        <w:ind w:firstLine="560" w:firstLineChars="200"/>
        <w:rPr>
          <w:rFonts w:hint="eastAsia" w:eastAsia="宋体"/>
          <w:sz w:val="28"/>
          <w:szCs w:val="28"/>
          <w:lang w:eastAsia="zh-CN"/>
        </w:rPr>
      </w:pPr>
      <w:r>
        <w:rPr>
          <w:rFonts w:hint="eastAsia"/>
          <w:sz w:val="28"/>
          <w:szCs w:val="28"/>
        </w:rPr>
        <w:t>（二）考试时间：180分钟</w:t>
      </w:r>
      <w:r>
        <w:rPr>
          <w:rFonts w:hint="eastAsia"/>
          <w:sz w:val="28"/>
          <w:szCs w:val="28"/>
          <w:lang w:eastAsia="zh-CN"/>
        </w:rPr>
        <w:t>。</w:t>
      </w:r>
    </w:p>
    <w:p>
      <w:pPr>
        <w:spacing w:line="360" w:lineRule="auto"/>
        <w:rPr>
          <w:rFonts w:ascii="黑体" w:hAnsi="黑体" w:eastAsia="黑体" w:cs="黑体"/>
          <w:bCs/>
          <w:sz w:val="28"/>
          <w:szCs w:val="28"/>
        </w:rPr>
      </w:pPr>
      <w:r>
        <w:rPr>
          <w:rFonts w:hint="eastAsia" w:ascii="黑体" w:hAnsi="黑体" w:eastAsia="黑体" w:cs="黑体"/>
          <w:bCs/>
          <w:sz w:val="28"/>
          <w:szCs w:val="28"/>
        </w:rPr>
        <w:t>三、考查要点</w:t>
      </w:r>
    </w:p>
    <w:p>
      <w:pPr>
        <w:spacing w:line="360" w:lineRule="auto"/>
        <w:ind w:firstLine="560" w:firstLineChars="200"/>
        <w:rPr>
          <w:sz w:val="28"/>
          <w:szCs w:val="28"/>
        </w:rPr>
      </w:pPr>
      <w:r>
        <w:rPr>
          <w:rFonts w:hint="eastAsia"/>
          <w:sz w:val="28"/>
          <w:szCs w:val="28"/>
        </w:rPr>
        <w:t>（一）毛泽东思想</w:t>
      </w:r>
    </w:p>
    <w:p>
      <w:pPr>
        <w:spacing w:line="360" w:lineRule="auto"/>
        <w:ind w:firstLine="560" w:firstLineChars="200"/>
        <w:rPr>
          <w:sz w:val="28"/>
          <w:szCs w:val="28"/>
        </w:rPr>
      </w:pPr>
      <w:r>
        <w:rPr>
          <w:rFonts w:hint="eastAsia"/>
          <w:sz w:val="28"/>
          <w:szCs w:val="28"/>
        </w:rPr>
        <w:t>1、毛泽东思想及其历史地位</w:t>
      </w:r>
    </w:p>
    <w:p>
      <w:pPr>
        <w:spacing w:line="360" w:lineRule="auto"/>
        <w:ind w:firstLine="560" w:firstLineChars="200"/>
        <w:rPr>
          <w:sz w:val="28"/>
          <w:szCs w:val="28"/>
        </w:rPr>
      </w:pPr>
      <w:r>
        <w:rPr>
          <w:rFonts w:hint="eastAsia"/>
          <w:sz w:val="28"/>
          <w:szCs w:val="28"/>
        </w:rPr>
        <w:t>2、新民主主义革命理论</w:t>
      </w:r>
    </w:p>
    <w:p>
      <w:pPr>
        <w:spacing w:line="360" w:lineRule="auto"/>
        <w:ind w:firstLine="560" w:firstLineChars="200"/>
        <w:rPr>
          <w:sz w:val="28"/>
          <w:szCs w:val="28"/>
        </w:rPr>
      </w:pPr>
      <w:r>
        <w:rPr>
          <w:rFonts w:hint="eastAsia"/>
          <w:sz w:val="28"/>
          <w:szCs w:val="28"/>
        </w:rPr>
        <w:t>3、社会主义改造理论</w:t>
      </w:r>
    </w:p>
    <w:p>
      <w:pPr>
        <w:spacing w:line="360" w:lineRule="auto"/>
        <w:ind w:firstLine="560" w:firstLineChars="200"/>
        <w:rPr>
          <w:sz w:val="28"/>
          <w:szCs w:val="28"/>
        </w:rPr>
      </w:pPr>
      <w:r>
        <w:rPr>
          <w:rFonts w:hint="eastAsia"/>
          <w:sz w:val="28"/>
          <w:szCs w:val="28"/>
        </w:rPr>
        <w:t>4、社会主义建设道路初步探索的理论成果</w:t>
      </w:r>
    </w:p>
    <w:p>
      <w:pPr>
        <w:spacing w:line="360" w:lineRule="auto"/>
        <w:ind w:firstLine="560" w:firstLineChars="200"/>
        <w:rPr>
          <w:sz w:val="28"/>
          <w:szCs w:val="28"/>
        </w:rPr>
      </w:pPr>
      <w:r>
        <w:rPr>
          <w:rFonts w:hint="eastAsia"/>
          <w:sz w:val="28"/>
          <w:szCs w:val="28"/>
        </w:rPr>
        <w:t>（二）邓小平理论、“三个代表”重要思想、科学发展观</w:t>
      </w:r>
    </w:p>
    <w:p>
      <w:pPr>
        <w:spacing w:line="360" w:lineRule="auto"/>
        <w:ind w:firstLine="560" w:firstLineChars="200"/>
        <w:rPr>
          <w:sz w:val="28"/>
          <w:szCs w:val="28"/>
        </w:rPr>
      </w:pPr>
      <w:r>
        <w:rPr>
          <w:rFonts w:hint="eastAsia"/>
          <w:sz w:val="28"/>
          <w:szCs w:val="28"/>
        </w:rPr>
        <w:t>1、邓小平理论</w:t>
      </w:r>
    </w:p>
    <w:p>
      <w:pPr>
        <w:spacing w:line="360" w:lineRule="auto"/>
        <w:ind w:firstLine="560" w:firstLineChars="200"/>
        <w:rPr>
          <w:sz w:val="28"/>
          <w:szCs w:val="28"/>
        </w:rPr>
      </w:pPr>
      <w:r>
        <w:rPr>
          <w:rFonts w:hint="eastAsia"/>
          <w:sz w:val="28"/>
          <w:szCs w:val="28"/>
        </w:rPr>
        <w:t>2、“三个代表”重要思想</w:t>
      </w:r>
    </w:p>
    <w:p>
      <w:pPr>
        <w:spacing w:line="360" w:lineRule="auto"/>
        <w:ind w:firstLine="560" w:firstLineChars="200"/>
        <w:rPr>
          <w:sz w:val="28"/>
          <w:szCs w:val="28"/>
        </w:rPr>
      </w:pPr>
      <w:r>
        <w:rPr>
          <w:rFonts w:hint="eastAsia"/>
          <w:sz w:val="28"/>
          <w:szCs w:val="28"/>
        </w:rPr>
        <w:t>3、科学发展观</w:t>
      </w:r>
    </w:p>
    <w:p>
      <w:pPr>
        <w:spacing w:line="360" w:lineRule="auto"/>
        <w:ind w:firstLine="560" w:firstLineChars="200"/>
        <w:rPr>
          <w:sz w:val="28"/>
          <w:szCs w:val="28"/>
        </w:rPr>
      </w:pPr>
      <w:r>
        <w:rPr>
          <w:rFonts w:hint="eastAsia"/>
          <w:sz w:val="28"/>
          <w:szCs w:val="28"/>
        </w:rPr>
        <w:t>（三）习近平新时代中国特色社会主义思想</w:t>
      </w:r>
    </w:p>
    <w:p>
      <w:pPr>
        <w:spacing w:line="360" w:lineRule="auto"/>
        <w:ind w:firstLine="560" w:firstLineChars="200"/>
        <w:rPr>
          <w:sz w:val="28"/>
          <w:szCs w:val="28"/>
        </w:rPr>
      </w:pPr>
      <w:r>
        <w:rPr>
          <w:rFonts w:hint="eastAsia"/>
          <w:sz w:val="28"/>
          <w:szCs w:val="28"/>
        </w:rPr>
        <w:t>1、习近平新时代中国特色社会主义思想及其历史地位</w:t>
      </w:r>
    </w:p>
    <w:p>
      <w:pPr>
        <w:spacing w:line="360" w:lineRule="auto"/>
        <w:ind w:firstLine="560" w:firstLineChars="200"/>
        <w:rPr>
          <w:sz w:val="28"/>
          <w:szCs w:val="28"/>
        </w:rPr>
      </w:pPr>
      <w:r>
        <w:rPr>
          <w:rFonts w:hint="eastAsia"/>
          <w:sz w:val="28"/>
          <w:szCs w:val="28"/>
        </w:rPr>
        <w:t>2、坚持和发展中国特色社会主义的总任务</w:t>
      </w:r>
    </w:p>
    <w:p>
      <w:pPr>
        <w:spacing w:line="360" w:lineRule="auto"/>
        <w:ind w:firstLine="560" w:firstLineChars="200"/>
        <w:rPr>
          <w:sz w:val="28"/>
          <w:szCs w:val="28"/>
        </w:rPr>
      </w:pPr>
      <w:r>
        <w:rPr>
          <w:rFonts w:hint="eastAsia"/>
          <w:sz w:val="28"/>
          <w:szCs w:val="28"/>
        </w:rPr>
        <w:t>3、“五位一体”总体布局</w:t>
      </w:r>
    </w:p>
    <w:p>
      <w:pPr>
        <w:spacing w:line="360" w:lineRule="auto"/>
        <w:ind w:firstLine="560" w:firstLineChars="200"/>
        <w:rPr>
          <w:sz w:val="28"/>
          <w:szCs w:val="28"/>
        </w:rPr>
      </w:pPr>
      <w:r>
        <w:rPr>
          <w:rFonts w:hint="eastAsia"/>
          <w:sz w:val="28"/>
          <w:szCs w:val="28"/>
        </w:rPr>
        <w:t>4、“四个全面”战略布局</w:t>
      </w:r>
    </w:p>
    <w:p>
      <w:pPr>
        <w:spacing w:line="360" w:lineRule="auto"/>
        <w:ind w:firstLine="560" w:firstLineChars="200"/>
        <w:rPr>
          <w:sz w:val="28"/>
          <w:szCs w:val="28"/>
        </w:rPr>
      </w:pPr>
      <w:r>
        <w:rPr>
          <w:rFonts w:hint="eastAsia"/>
          <w:sz w:val="28"/>
          <w:szCs w:val="28"/>
        </w:rPr>
        <w:t>5、全面推进国防和军队现代化</w:t>
      </w:r>
    </w:p>
    <w:p>
      <w:pPr>
        <w:spacing w:line="360" w:lineRule="auto"/>
        <w:ind w:firstLine="560" w:firstLineChars="200"/>
        <w:rPr>
          <w:sz w:val="28"/>
          <w:szCs w:val="28"/>
        </w:rPr>
      </w:pPr>
      <w:r>
        <w:rPr>
          <w:rFonts w:hint="eastAsia"/>
          <w:sz w:val="28"/>
          <w:szCs w:val="28"/>
        </w:rPr>
        <w:t>6、中国特色大国外交</w:t>
      </w:r>
    </w:p>
    <w:p>
      <w:pPr>
        <w:spacing w:line="360" w:lineRule="auto"/>
        <w:ind w:firstLine="560" w:firstLineChars="200"/>
        <w:rPr>
          <w:sz w:val="28"/>
          <w:szCs w:val="28"/>
        </w:rPr>
      </w:pPr>
      <w:r>
        <w:rPr>
          <w:rFonts w:hint="eastAsia"/>
          <w:sz w:val="28"/>
          <w:szCs w:val="28"/>
        </w:rPr>
        <w:t>7、坚持和加强党的领导</w:t>
      </w:r>
    </w:p>
    <w:p>
      <w:pPr>
        <w:spacing w:line="360" w:lineRule="auto"/>
        <w:ind w:firstLine="560" w:firstLineChars="200"/>
        <w:rPr>
          <w:sz w:val="28"/>
          <w:szCs w:val="28"/>
        </w:rPr>
      </w:pPr>
      <w:r>
        <w:rPr>
          <w:rFonts w:hint="eastAsia"/>
          <w:sz w:val="28"/>
          <w:szCs w:val="28"/>
        </w:rPr>
        <w:t>8、习近平总书记系列重要讲话</w:t>
      </w:r>
    </w:p>
    <w:p>
      <w:pPr>
        <w:spacing w:line="360" w:lineRule="auto"/>
        <w:rPr>
          <w:rFonts w:ascii="黑体" w:hAnsi="黑体" w:eastAsia="黑体" w:cs="黑体"/>
          <w:bCs/>
          <w:sz w:val="28"/>
          <w:szCs w:val="28"/>
        </w:rPr>
      </w:pPr>
      <w:r>
        <w:rPr>
          <w:rFonts w:hint="eastAsia" w:ascii="黑体" w:hAnsi="黑体" w:eastAsia="黑体" w:cs="黑体"/>
          <w:bCs/>
          <w:sz w:val="28"/>
          <w:szCs w:val="28"/>
        </w:rPr>
        <w:t>四、计算器使用要求</w:t>
      </w:r>
    </w:p>
    <w:p>
      <w:pPr>
        <w:spacing w:line="360" w:lineRule="auto"/>
        <w:ind w:firstLine="560" w:firstLineChars="200"/>
        <w:rPr>
          <w:sz w:val="28"/>
          <w:szCs w:val="28"/>
        </w:rPr>
      </w:pPr>
      <w:r>
        <w:rPr>
          <w:rFonts w:hint="eastAsia"/>
          <w:sz w:val="28"/>
          <w:szCs w:val="28"/>
        </w:rPr>
        <w:t>本科目无需使用计算器。</w:t>
      </w:r>
    </w:p>
    <w:p>
      <w:pPr>
        <w:spacing w:line="360" w:lineRule="auto"/>
        <w:rPr>
          <w:rFonts w:ascii="黑体" w:hAnsi="黑体" w:eastAsia="黑体" w:cs="黑体"/>
          <w:sz w:val="28"/>
          <w:szCs w:val="28"/>
        </w:rPr>
      </w:pPr>
      <w:r>
        <w:rPr>
          <w:rFonts w:hint="eastAsia" w:ascii="黑体" w:hAnsi="黑体" w:eastAsia="黑体" w:cs="黑体"/>
          <w:sz w:val="28"/>
          <w:szCs w:val="28"/>
        </w:rPr>
        <w:t>附件1：</w:t>
      </w:r>
      <w:r>
        <w:rPr>
          <w:rFonts w:hint="eastAsia" w:ascii="黑体" w:hAnsi="黑体" w:eastAsia="黑体" w:cs="黑体"/>
          <w:bCs/>
          <w:sz w:val="28"/>
          <w:szCs w:val="28"/>
        </w:rPr>
        <w:t>试题导语参考</w:t>
      </w:r>
    </w:p>
    <w:p>
      <w:pPr>
        <w:numPr>
          <w:ilvl w:val="0"/>
          <w:numId w:val="1"/>
        </w:numPr>
        <w:spacing w:line="360" w:lineRule="auto"/>
        <w:ind w:firstLine="560" w:firstLineChars="200"/>
        <w:rPr>
          <w:rFonts w:ascii="宋体" w:hAnsi="宋体" w:cs="宋体"/>
          <w:sz w:val="28"/>
          <w:szCs w:val="28"/>
        </w:rPr>
      </w:pPr>
      <w:r>
        <w:rPr>
          <w:rFonts w:hint="eastAsia" w:ascii="宋体" w:hAnsi="宋体" w:cs="宋体"/>
          <w:sz w:val="28"/>
          <w:szCs w:val="28"/>
        </w:rPr>
        <w:t>简答题（共50分，5小题，每题10分）</w:t>
      </w:r>
    </w:p>
    <w:p>
      <w:pPr>
        <w:numPr>
          <w:ilvl w:val="0"/>
          <w:numId w:val="1"/>
        </w:numPr>
        <w:spacing w:line="360" w:lineRule="auto"/>
        <w:ind w:firstLine="560" w:firstLineChars="200"/>
        <w:rPr>
          <w:rFonts w:ascii="宋体" w:hAnsi="宋体" w:cs="宋体"/>
          <w:sz w:val="28"/>
          <w:szCs w:val="28"/>
        </w:rPr>
      </w:pPr>
      <w:r>
        <w:rPr>
          <w:rFonts w:hint="eastAsia" w:ascii="宋体" w:hAnsi="宋体" w:cs="宋体"/>
          <w:sz w:val="28"/>
          <w:szCs w:val="28"/>
        </w:rPr>
        <w:t>论述题（共100分，4小题，每题25分）</w:t>
      </w:r>
    </w:p>
    <w:p>
      <w:pPr>
        <w:spacing w:line="360" w:lineRule="auto"/>
        <w:ind w:left="560"/>
        <w:rPr>
          <w:rFonts w:hint="eastAsia" w:ascii="宋体" w:hAnsi="宋体" w:cs="宋体"/>
          <w:sz w:val="28"/>
          <w:szCs w:val="28"/>
        </w:rPr>
      </w:pPr>
      <w:r>
        <w:rPr>
          <w:rFonts w:hint="eastAsia"/>
          <w:color w:val="000000" w:themeColor="text1"/>
          <w:sz w:val="28"/>
          <w:szCs w:val="28"/>
          <w14:textFill>
            <w14:solidFill>
              <w14:schemeClr w14:val="tx1"/>
            </w14:solidFill>
          </w14:textFill>
        </w:rPr>
        <w:t>注：试题导语信息最终以试题命制为准</w:t>
      </w:r>
    </w:p>
    <w:p>
      <w:pPr>
        <w:spacing w:line="360" w:lineRule="auto"/>
        <w:rPr>
          <w:rFonts w:ascii="黑体" w:hAnsi="黑体" w:eastAsia="黑体" w:cs="黑体"/>
          <w:sz w:val="28"/>
          <w:szCs w:val="28"/>
        </w:rPr>
      </w:pPr>
      <w:r>
        <w:rPr>
          <w:rFonts w:hint="eastAsia" w:ascii="黑体" w:hAnsi="黑体" w:eastAsia="黑体" w:cs="黑体"/>
          <w:sz w:val="28"/>
          <w:szCs w:val="28"/>
        </w:rPr>
        <w:t>附件2：参考书目信息</w:t>
      </w:r>
    </w:p>
    <w:p>
      <w:pPr>
        <w:spacing w:line="360" w:lineRule="auto"/>
        <w:ind w:firstLine="560" w:firstLineChars="200"/>
        <w:rPr>
          <w:sz w:val="28"/>
          <w:szCs w:val="28"/>
        </w:rPr>
      </w:pPr>
      <w:r>
        <w:rPr>
          <w:rFonts w:hint="eastAsia"/>
          <w:sz w:val="28"/>
          <w:szCs w:val="28"/>
        </w:rPr>
        <w:t>《毛泽东思想和中国特色社会主义理论体系概论》，本书编写组，高等教育出版社，2021年最新版本。</w:t>
      </w:r>
    </w:p>
    <w:p>
      <w:pPr>
        <w:spacing w:line="360" w:lineRule="auto"/>
        <w:ind w:firstLine="560" w:firstLineChars="200"/>
        <w:rPr>
          <w:sz w:val="28"/>
          <w:szCs w:val="28"/>
        </w:rPr>
      </w:pPr>
      <w:r>
        <w:rPr>
          <w:rFonts w:hint="eastAsia"/>
          <w:sz w:val="28"/>
          <w:szCs w:val="28"/>
        </w:rPr>
        <w:t>习近平总书记系列重要讲话。</w:t>
      </w:r>
      <w:bookmarkStart w:id="0" w:name="_GoBack"/>
      <w:bookmarkEnd w:id="0"/>
    </w:p>
    <w:p>
      <w:pPr>
        <w:spacing w:line="360" w:lineRule="auto"/>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448300" cy="7264400"/>
            <wp:effectExtent l="0" t="0" r="0" b="12700"/>
            <wp:docPr id="1" name="图片 1" descr="9cfdb769428b89665d3962c30dc2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cfdb769428b89665d3962c30dc20f4"/>
                    <pic:cNvPicPr>
                      <a:picLocks noChangeAspect="1"/>
                    </pic:cNvPicPr>
                  </pic:nvPicPr>
                  <pic:blipFill>
                    <a:blip r:embed="rId4"/>
                    <a:stretch>
                      <a:fillRect/>
                    </a:stretch>
                  </pic:blipFill>
                  <pic:spPr>
                    <a:xfrm>
                      <a:off x="0" y="0"/>
                      <a:ext cx="5448300" cy="7264400"/>
                    </a:xfrm>
                    <a:prstGeom prst="rect">
                      <a:avLst/>
                    </a:prstGeom>
                  </pic:spPr>
                </pic:pic>
              </a:graphicData>
            </a:graphic>
          </wp:inline>
        </w:drawing>
      </w:r>
    </w:p>
    <w:sectPr>
      <w:pgSz w:w="11906" w:h="16838"/>
      <w:pgMar w:top="1701" w:right="1800"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A249"/>
    <w:multiLevelType w:val="singleLevel"/>
    <w:tmpl w:val="6CEAA2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66"/>
    <w:rsid w:val="0000458E"/>
    <w:rsid w:val="0001297B"/>
    <w:rsid w:val="000134D3"/>
    <w:rsid w:val="00026C23"/>
    <w:rsid w:val="000A0478"/>
    <w:rsid w:val="0010611F"/>
    <w:rsid w:val="0014099B"/>
    <w:rsid w:val="00173AC7"/>
    <w:rsid w:val="002046A1"/>
    <w:rsid w:val="00215161"/>
    <w:rsid w:val="00224315"/>
    <w:rsid w:val="002730B4"/>
    <w:rsid w:val="0027646C"/>
    <w:rsid w:val="002977CB"/>
    <w:rsid w:val="002C6DEA"/>
    <w:rsid w:val="002E4669"/>
    <w:rsid w:val="00322820"/>
    <w:rsid w:val="003337D8"/>
    <w:rsid w:val="00334C6E"/>
    <w:rsid w:val="00384723"/>
    <w:rsid w:val="00396C6A"/>
    <w:rsid w:val="003C2A6A"/>
    <w:rsid w:val="003D0C54"/>
    <w:rsid w:val="0048750E"/>
    <w:rsid w:val="004B4FC5"/>
    <w:rsid w:val="00586634"/>
    <w:rsid w:val="00591C42"/>
    <w:rsid w:val="005F3AB6"/>
    <w:rsid w:val="006C48AC"/>
    <w:rsid w:val="006F4142"/>
    <w:rsid w:val="00700AEF"/>
    <w:rsid w:val="007729FA"/>
    <w:rsid w:val="007D4191"/>
    <w:rsid w:val="007D6018"/>
    <w:rsid w:val="007F6C4A"/>
    <w:rsid w:val="00822D6A"/>
    <w:rsid w:val="008310E3"/>
    <w:rsid w:val="008402B9"/>
    <w:rsid w:val="00922793"/>
    <w:rsid w:val="009702BD"/>
    <w:rsid w:val="009D0791"/>
    <w:rsid w:val="00A31CE4"/>
    <w:rsid w:val="00A57BAA"/>
    <w:rsid w:val="00A825D1"/>
    <w:rsid w:val="00B045B9"/>
    <w:rsid w:val="00B22026"/>
    <w:rsid w:val="00B649DD"/>
    <w:rsid w:val="00BC4B2A"/>
    <w:rsid w:val="00BF1E66"/>
    <w:rsid w:val="00C37A51"/>
    <w:rsid w:val="00C868A2"/>
    <w:rsid w:val="00CF1829"/>
    <w:rsid w:val="00D052EB"/>
    <w:rsid w:val="00D256D9"/>
    <w:rsid w:val="00D31F1F"/>
    <w:rsid w:val="00D620EF"/>
    <w:rsid w:val="00D80065"/>
    <w:rsid w:val="00DF16B9"/>
    <w:rsid w:val="00DF23DD"/>
    <w:rsid w:val="00DF30D6"/>
    <w:rsid w:val="00E10275"/>
    <w:rsid w:val="00E440C5"/>
    <w:rsid w:val="00E9431F"/>
    <w:rsid w:val="00EC2EB1"/>
    <w:rsid w:val="00EF6EAA"/>
    <w:rsid w:val="00F04924"/>
    <w:rsid w:val="00F054E9"/>
    <w:rsid w:val="00F40CEF"/>
    <w:rsid w:val="00F56B3B"/>
    <w:rsid w:val="0A482EF2"/>
    <w:rsid w:val="0AF47AC7"/>
    <w:rsid w:val="14B17A7A"/>
    <w:rsid w:val="15D61E29"/>
    <w:rsid w:val="189E1E2C"/>
    <w:rsid w:val="279A3311"/>
    <w:rsid w:val="2CA93DD5"/>
    <w:rsid w:val="2DC35C33"/>
    <w:rsid w:val="2F5B7DA6"/>
    <w:rsid w:val="357E670F"/>
    <w:rsid w:val="3A6E04ED"/>
    <w:rsid w:val="42F72705"/>
    <w:rsid w:val="46536C82"/>
    <w:rsid w:val="56BB23E9"/>
    <w:rsid w:val="5CB13611"/>
    <w:rsid w:val="5D407E03"/>
    <w:rsid w:val="615D5D92"/>
    <w:rsid w:val="6251681C"/>
    <w:rsid w:val="6576054F"/>
    <w:rsid w:val="67B061AE"/>
    <w:rsid w:val="67CA483A"/>
    <w:rsid w:val="692B75DE"/>
    <w:rsid w:val="7D53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lang w:val="zh-CN"/>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lang w:val="zh-CN"/>
    </w:rPr>
  </w:style>
  <w:style w:type="character" w:customStyle="1" w:styleId="7">
    <w:name w:val="页眉 字符"/>
    <w:link w:val="4"/>
    <w:qFormat/>
    <w:uiPriority w:val="0"/>
    <w:rPr>
      <w:kern w:val="2"/>
      <w:sz w:val="18"/>
      <w:szCs w:val="18"/>
    </w:rPr>
  </w:style>
  <w:style w:type="character" w:customStyle="1" w:styleId="8">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97</Words>
  <Characters>555</Characters>
  <Lines>4</Lines>
  <Paragraphs>1</Paragraphs>
  <TotalTime>5</TotalTime>
  <ScaleCrop>false</ScaleCrop>
  <LinksUpToDate>false</LinksUpToDate>
  <CharactersWithSpaces>651</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2019-07-30T02:12:00Z</dcterms:created>
  <dc:creator>yufen</dc:creator>
  <cp:lastModifiedBy>cpp</cp:lastModifiedBy>
  <cp:lastPrinted>2020-07-01T03:29:00Z</cp:lastPrinted>
  <dcterms:modified xsi:type="dcterms:W3CDTF">2021-09-06T01:25:36Z</dcterms:modified>
  <dc:title>2009年硕士研究生统一入学考试大纲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979BDAE269484E9E9A4A34F39279FFEE</vt:lpwstr>
  </property>
</Properties>
</file>