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630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和声与作品分析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和声与作品分析是音乐学、音乐专业硕士生入学考试的业务课。考试对象为参加音乐学、音乐专业2022年全国硕士研究生入学考试的准考考生。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和声</w:t>
      </w:r>
      <w:r>
        <w:rPr>
          <w:rFonts w:hint="eastAsia"/>
          <w:sz w:val="28"/>
          <w:szCs w:val="28"/>
        </w:rPr>
        <w:t>分析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调性下和声的基本概念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功能和声（或级数和声）理论的基本概念及应用情况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3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功能和声理论中属和弦（包括属七和弦、属九和弦、导七和弦）及其解决的概念与应用情况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4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重属和弦与附属和弦的的概念与应用情况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5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终止式的概念，正格终止、变格终止、半终止、全终止、阻碍终止的概念与应用情况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6</w:t>
      </w:r>
      <w:r>
        <w:rPr>
          <w:rFonts w:hint="eastAsia" w:ascii="宋体" w:hAnsi="宋体" w:cs="宋体"/>
          <w:kern w:val="2"/>
          <w:sz w:val="28"/>
          <w:szCs w:val="28"/>
        </w:rPr>
        <w:t>.</w:t>
      </w:r>
      <w:r>
        <w:rPr>
          <w:rFonts w:ascii="宋体" w:hAnsi="宋体" w:cs="宋体"/>
          <w:kern w:val="2"/>
          <w:sz w:val="28"/>
          <w:szCs w:val="28"/>
        </w:rPr>
        <w:t>特殊下属和弦（如那不勒斯六和弦）的识别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7.</w:t>
      </w:r>
      <w:r>
        <w:rPr>
          <w:rFonts w:ascii="宋体" w:hAnsi="宋体" w:cs="宋体"/>
          <w:kern w:val="2"/>
          <w:sz w:val="28"/>
          <w:szCs w:val="28"/>
        </w:rPr>
        <w:t>模进的概念与应用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8.</w:t>
      </w:r>
      <w:r>
        <w:rPr>
          <w:rFonts w:ascii="宋体" w:hAnsi="宋体" w:cs="宋体"/>
          <w:kern w:val="2"/>
          <w:sz w:val="28"/>
          <w:szCs w:val="28"/>
        </w:rPr>
        <w:t>和弦外音的概念与在和声分析中的识别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9.</w:t>
      </w:r>
      <w:r>
        <w:rPr>
          <w:rFonts w:ascii="宋体" w:hAnsi="宋体" w:cs="宋体"/>
          <w:kern w:val="2"/>
          <w:sz w:val="28"/>
          <w:szCs w:val="28"/>
        </w:rPr>
        <w:t>属和弦的变和弦（包括升高或降低五音的属七和弦、升高或降低三音的导七和弦以及增六和弦等）的概念与在和声分析中的识别</w:t>
      </w:r>
      <w:r>
        <w:rPr>
          <w:rFonts w:hint="eastAsia" w:ascii="宋体" w:hAnsi="宋体" w:cs="宋体"/>
          <w:kern w:val="2"/>
          <w:sz w:val="28"/>
          <w:szCs w:val="28"/>
        </w:rPr>
        <w:t>;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10.</w:t>
      </w:r>
      <w:r>
        <w:rPr>
          <w:rFonts w:ascii="宋体" w:hAnsi="宋体" w:cs="宋体"/>
          <w:kern w:val="2"/>
          <w:sz w:val="28"/>
          <w:szCs w:val="28"/>
        </w:rPr>
        <w:t>离调与转调（一级关系调内的自然音转调）的识别</w:t>
      </w:r>
      <w:r>
        <w:rPr>
          <w:rFonts w:hint="eastAsia" w:ascii="宋体" w:hAnsi="宋体" w:cs="宋体"/>
          <w:kern w:val="2"/>
          <w:sz w:val="28"/>
          <w:szCs w:val="28"/>
        </w:rPr>
        <w:t>。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（二）作品分析</w:t>
      </w:r>
    </w:p>
    <w:p>
      <w:pPr>
        <w:pStyle w:val="3"/>
        <w:widowControl/>
        <w:spacing w:beforeAutospacing="0" w:afterAutospacing="0" w:line="560" w:lineRule="exact"/>
        <w:ind w:firstLine="560" w:firstLineChars="200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1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音乐的基本表现手段：旋律线、音调、节奏、节拍、速度、力度、音区、音色、和声、调性、调、织体;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2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发展音乐的基本手法：重复、模进、再现、变奏、对比、补充、扩充等;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3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一部曲式：单乐段、复乐段;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4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单二部曲式：再现单二部曲式、并列单二部曲式;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5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单三部曲式：再现单三部曲式、并列单三部曲式、单主题的中部、对比主题的中部、混合的中部、假再现、单三部曲式结构特征，再现部类型;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6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复三部曲式和复二部曲式：复三部曲式第一部分、复三部曲式的三声中部、复三部曲式的插部、复三部曲式的合成性中部、复三部曲式的再现部、复二部曲式;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7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回旋曲式：单主题回旋曲式、对比主题回旋曲式、插部领先的回旋曲式;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8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变奏曲式：固定低音变奏、固定曲调变奏、装饰变奏、自由变奏、双主题变奏;</w:t>
      </w:r>
    </w:p>
    <w:p>
      <w:pPr>
        <w:pStyle w:val="3"/>
        <w:widowControl/>
        <w:spacing w:beforeAutospacing="0" w:afterAutospacing="0" w:line="560" w:lineRule="exact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9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奏鸣曲式：典型奏鸣曲式、插部性奏鸣曲式、无展开部奏鸣曲式;</w:t>
      </w:r>
    </w:p>
    <w:p>
      <w:pPr>
        <w:pStyle w:val="3"/>
        <w:widowControl/>
        <w:spacing w:beforeAutospacing="0" w:afterAutospacing="0" w:line="56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　　10</w:t>
      </w:r>
      <w:r>
        <w:rPr>
          <w:rFonts w:hint="eastAsia" w:ascii="宋体" w:hAnsi="宋体" w:eastAsia="宋体"/>
          <w:kern w:val="2"/>
          <w:sz w:val="28"/>
          <w:szCs w:val="28"/>
        </w:rPr>
        <w:t>.</w:t>
      </w:r>
      <w:r>
        <w:rPr>
          <w:rFonts w:ascii="宋体" w:hAnsi="宋体" w:eastAsia="宋体"/>
          <w:kern w:val="2"/>
          <w:sz w:val="28"/>
          <w:szCs w:val="28"/>
        </w:rPr>
        <w:t>回旋奏鸣曲式：呈示部、插部和展开部、再现部和尾声、特殊的类型。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和声分析（共60分）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作品分析（共90分）</w:t>
      </w:r>
    </w:p>
    <w:p>
      <w:pPr>
        <w:spacing w:line="560" w:lineRule="exact"/>
        <w:ind w:left="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pStyle w:val="3"/>
        <w:widowControl/>
        <w:numPr>
          <w:ilvl w:val="0"/>
          <w:numId w:val="2"/>
        </w:numPr>
        <w:spacing w:beforeAutospacing="0" w:afterAutospacing="0" w:line="560" w:lineRule="exact"/>
        <w:ind w:firstLine="560" w:firstLineChars="200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伊·斯波索宾、伊·杜波夫斯基、斯·叶甫谢耶夫、符·索科洛夫，和声学教程</w:t>
      </w:r>
      <w:r>
        <w:rPr>
          <w:rFonts w:hint="eastAsia" w:ascii="宋体" w:hAnsi="宋体" w:eastAsia="宋体"/>
          <w:kern w:val="2"/>
          <w:sz w:val="28"/>
          <w:szCs w:val="28"/>
        </w:rPr>
        <w:t>（增订重译版）</w:t>
      </w:r>
      <w:r>
        <w:rPr>
          <w:rFonts w:ascii="宋体" w:hAnsi="宋体" w:eastAsia="宋体"/>
          <w:kern w:val="2"/>
          <w:sz w:val="28"/>
          <w:szCs w:val="28"/>
        </w:rPr>
        <w:t>，人民音乐出版社，2008年3月。</w:t>
      </w:r>
    </w:p>
    <w:p>
      <w:pPr>
        <w:pStyle w:val="3"/>
        <w:widowControl/>
        <w:spacing w:beforeAutospacing="0" w:afterAutospacing="0"/>
        <w:ind w:left="420" w:leftChars="200"/>
        <w:jc w:val="center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drawing>
          <wp:inline distT="0" distB="0" distL="114300" distR="114300">
            <wp:extent cx="1764030" cy="2549525"/>
            <wp:effectExtent l="0" t="0" r="7620" b="3175"/>
            <wp:docPr id="1" name="图片 1" descr="src=http___img.defanli.com_i4_2773002792_TB2n6vmyFOWBuNjy0FiXXXFxVXa_!!2773002792.jpg_q90.jpg&amp;refer=http___img.defan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rc=http___img.defanli.com_i4_2773002792_TB2n6vmyFOWBuNjy0FiXXXFxVXa_!!2773002792.jpg_q90.jpg&amp;refer=http___img.defanl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2"/>
        </w:numPr>
        <w:spacing w:beforeAutospacing="0" w:afterAutospacing="0" w:line="560" w:lineRule="exact"/>
        <w:ind w:firstLine="560" w:firstLineChars="200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吴式锴</w:t>
      </w:r>
      <w:r>
        <w:rPr>
          <w:rFonts w:hint="eastAsia" w:ascii="宋体" w:hAnsi="宋体" w:eastAsia="宋体"/>
          <w:kern w:val="2"/>
          <w:sz w:val="28"/>
          <w:szCs w:val="28"/>
        </w:rPr>
        <w:t>，和声分析351例，</w:t>
      </w:r>
      <w:r>
        <w:fldChar w:fldCharType="begin"/>
      </w:r>
      <w:r>
        <w:instrText xml:space="preserve"> HYPERLINK "https://baike.baidu.com/item/%E4%B8%96%E7%95%8C%E5%9B%BE%E4%B9%A6%E5%87%BA%E7%89%88%E5%85%AC%E5%8F%B8/5967967" \t "https://baike.baidu.com/item/%E5%92%8C%E5%A3%B0%E5%88%86%E6%9E%90351%E4%BE%8B/_blank" </w:instrText>
      </w:r>
      <w:r>
        <w:fldChar w:fldCharType="separate"/>
      </w:r>
      <w:r>
        <w:rPr>
          <w:rFonts w:ascii="宋体" w:hAnsi="宋体" w:eastAsia="宋体"/>
          <w:kern w:val="2"/>
          <w:sz w:val="28"/>
          <w:szCs w:val="28"/>
        </w:rPr>
        <w:t>世界图书出版公司</w:t>
      </w:r>
      <w:r>
        <w:rPr>
          <w:rFonts w:ascii="宋体" w:hAnsi="宋体" w:eastAsia="宋体"/>
          <w:kern w:val="2"/>
          <w:sz w:val="28"/>
          <w:szCs w:val="28"/>
        </w:rPr>
        <w:fldChar w:fldCharType="end"/>
      </w:r>
      <w:r>
        <w:rPr>
          <w:rFonts w:hint="eastAsia" w:ascii="宋体" w:hAnsi="宋体" w:eastAsia="宋体"/>
          <w:kern w:val="2"/>
          <w:sz w:val="28"/>
          <w:szCs w:val="28"/>
        </w:rPr>
        <w:t>，2000年10月</w:t>
      </w:r>
      <w:r>
        <w:rPr>
          <w:rFonts w:ascii="宋体" w:hAnsi="宋体" w:eastAsia="宋体"/>
          <w:kern w:val="2"/>
          <w:sz w:val="28"/>
          <w:szCs w:val="28"/>
        </w:rPr>
        <w:t>。</w:t>
      </w:r>
    </w:p>
    <w:p>
      <w:pPr>
        <w:pStyle w:val="3"/>
        <w:widowControl/>
        <w:spacing w:beforeAutospacing="0" w:afterAutospacing="0"/>
        <w:ind w:left="420" w:leftChars="200"/>
        <w:jc w:val="center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drawing>
          <wp:inline distT="0" distB="0" distL="114300" distR="114300">
            <wp:extent cx="1764030" cy="2575560"/>
            <wp:effectExtent l="0" t="0" r="7620" b="15240"/>
            <wp:docPr id="2" name="图片 2" descr="314a7cae1bde7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4a7cae1bde76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2"/>
        </w:numPr>
        <w:spacing w:beforeAutospacing="0" w:afterAutospacing="0" w:line="560" w:lineRule="exact"/>
        <w:ind w:firstLine="560" w:firstLineChars="200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t>吴祖强，曲式与作品分析</w:t>
      </w:r>
      <w:r>
        <w:rPr>
          <w:rFonts w:hint="eastAsia" w:ascii="宋体" w:hAnsi="宋体" w:eastAsia="宋体"/>
          <w:kern w:val="2"/>
          <w:sz w:val="28"/>
          <w:szCs w:val="28"/>
        </w:rPr>
        <w:t>（修订版）</w:t>
      </w:r>
      <w:r>
        <w:rPr>
          <w:rFonts w:ascii="宋体" w:hAnsi="宋体" w:eastAsia="宋体"/>
          <w:kern w:val="2"/>
          <w:sz w:val="28"/>
          <w:szCs w:val="28"/>
        </w:rPr>
        <w:t>，人民音乐出版社，2015年11月。</w:t>
      </w:r>
    </w:p>
    <w:p>
      <w:pPr>
        <w:pStyle w:val="3"/>
        <w:widowControl/>
        <w:spacing w:beforeAutospacing="0" w:afterAutospacing="0"/>
        <w:ind w:left="420" w:leftChars="200"/>
        <w:jc w:val="center"/>
        <w:rPr>
          <w:rFonts w:ascii="宋体" w:hAnsi="宋体" w:eastAsia="宋体"/>
          <w:kern w:val="2"/>
          <w:sz w:val="28"/>
          <w:szCs w:val="28"/>
        </w:rPr>
      </w:pPr>
      <w:r>
        <w:rPr>
          <w:rFonts w:ascii="宋体" w:hAnsi="宋体" w:eastAsia="宋体"/>
          <w:kern w:val="2"/>
          <w:sz w:val="28"/>
          <w:szCs w:val="28"/>
        </w:rPr>
        <w:drawing>
          <wp:inline distT="0" distB="0" distL="114300" distR="114300">
            <wp:extent cx="1764030" cy="2498090"/>
            <wp:effectExtent l="0" t="0" r="7620" b="16510"/>
            <wp:docPr id="3" name="图片 3" descr="src=http___img.defanli.com_i1_1996134523_TB2.xEskOqAXuNjy1XdXXaYcVXa_!!1996134523.jpg_q90.jpg&amp;refer=http___img.defan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rc=http___img.defanli.com_i1_1996134523_TB2.xEskOqAXuNjy1XdXXaYcVXa_!!1996134523.jpg_q90.jpg&amp;refer=http___img.defanl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2"/>
        </w:numPr>
        <w:spacing w:beforeAutospacing="0" w:afterAutospacing="0" w:line="560" w:lineRule="exact"/>
        <w:ind w:firstLine="560" w:firstLineChars="200"/>
        <w:rPr>
          <w:rFonts w:ascii="宋体" w:hAnsi="宋体" w:eastAsia="宋体"/>
          <w:kern w:val="2"/>
          <w:sz w:val="28"/>
          <w:szCs w:val="28"/>
        </w:rPr>
      </w:pPr>
      <w:r>
        <w:rPr>
          <w:rFonts w:hint="eastAsia" w:ascii="宋体" w:hAnsi="宋体" w:eastAsia="宋体"/>
          <w:kern w:val="2"/>
          <w:sz w:val="28"/>
          <w:szCs w:val="28"/>
        </w:rPr>
        <w:t>高为杰、陈丹布，曲式分析基础教程（第3版），高等教育出版社，2021年1月。</w:t>
      </w:r>
    </w:p>
    <w:p>
      <w:pPr>
        <w:pStyle w:val="3"/>
        <w:widowControl/>
        <w:spacing w:beforeAutospacing="0" w:afterAutospacing="0"/>
        <w:ind w:left="420" w:leftChars="200"/>
        <w:jc w:val="center"/>
        <w:rPr>
          <w:rFonts w:hint="eastAsia"/>
        </w:rPr>
      </w:pPr>
      <w:r>
        <w:rPr>
          <w:rFonts w:hint="eastAsia" w:ascii="宋体" w:hAnsi="宋体" w:eastAsia="宋体"/>
          <w:kern w:val="2"/>
          <w:sz w:val="28"/>
          <w:szCs w:val="28"/>
        </w:rPr>
        <w:drawing>
          <wp:inline distT="0" distB="0" distL="114300" distR="114300">
            <wp:extent cx="1764030" cy="2601595"/>
            <wp:effectExtent l="0" t="0" r="7620" b="8255"/>
            <wp:docPr id="4" name="图片 4" descr="u=3227627801,4046784544&amp;fm=224&amp;fmt=auto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3227627801,4046784544&amp;fm=224&amp;fmt=auto&amp;gp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BC69F"/>
    <w:multiLevelType w:val="singleLevel"/>
    <w:tmpl w:val="51CBC6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7"/>
    <w:rsid w:val="00830007"/>
    <w:rsid w:val="00926FE1"/>
    <w:rsid w:val="00CA1EF3"/>
    <w:rsid w:val="00CD55FC"/>
    <w:rsid w:val="00D12F99"/>
    <w:rsid w:val="00FC3ABA"/>
    <w:rsid w:val="135E1FB3"/>
    <w:rsid w:val="45B75C3C"/>
    <w:rsid w:val="56BF17F8"/>
    <w:rsid w:val="6F681F68"/>
    <w:rsid w:val="7648588E"/>
    <w:rsid w:val="780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2021-08-31T03:01:31Z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572CB11070C3467FACDCDF742B49332F</vt:lpwstr>
  </property>
</Properties>
</file>