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4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关于考试大纲的说明</w:t>
      </w:r>
    </w:p>
    <w:p>
      <w:pPr>
        <w:spacing w:after="194" w:afterLines="50"/>
        <w:ind w:firstLine="536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考试大纲仅起参考作用，命题教师可从大纲外的任何领域出题，以考查考生的知识基础和灵活应变能力。</w:t>
      </w:r>
    </w:p>
    <w:p>
      <w:pPr>
        <w:spacing w:after="194" w:afterLines="50"/>
        <w:ind w:firstLine="536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解释权归武汉工程大学法商学院。</w:t>
      </w: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ind w:firstLine="5930" w:firstLineChars="2213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武汉工程大学法商学院</w:t>
      </w:r>
    </w:p>
    <w:p>
      <w:pPr>
        <w:spacing w:after="194" w:afterLines="50"/>
        <w:ind w:firstLine="5930" w:firstLineChars="2213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2021年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月</w:t>
      </w:r>
    </w:p>
    <w:p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>
      <w:pPr>
        <w:spacing w:after="194" w:afterLines="50"/>
        <w:rPr>
          <w:rFonts w:ascii="楷体_GB2312" w:eastAsia="楷体_GB2312"/>
          <w:b/>
          <w:sz w:val="32"/>
          <w:szCs w:val="32"/>
        </w:rPr>
      </w:pPr>
    </w:p>
    <w:p>
      <w:pPr>
        <w:spacing w:after="194" w:afterLines="50"/>
        <w:jc w:val="center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武汉工程大学研究生入学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复试</w:t>
      </w:r>
    </w:p>
    <w:p>
      <w:pPr>
        <w:spacing w:after="194"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《金融专业基础》考试大纲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一、适用专业：金融硕士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二、考核要求</w:t>
      </w:r>
    </w:p>
    <w:p>
      <w:pPr>
        <w:snapToGrid w:val="0"/>
        <w:ind w:firstLine="53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测试考生对于与经济学和金融学相关的基本概念、基础理论的掌握和运用能力。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、考试题型及分值</w:t>
      </w:r>
    </w:p>
    <w:p>
      <w:pPr>
        <w:snapToGrid w:val="0"/>
        <w:ind w:firstLine="53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货币银行学部分，国际金融部分，投资学部分</w:t>
      </w:r>
    </w:p>
    <w:p>
      <w:pPr>
        <w:snapToGrid w:val="0"/>
        <w:ind w:firstLine="53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1．名词解释 ；</w:t>
      </w:r>
    </w:p>
    <w:p>
      <w:pPr>
        <w:snapToGrid w:val="0"/>
        <w:ind w:firstLine="53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2．简述题 ；</w:t>
      </w:r>
    </w:p>
    <w:p>
      <w:pPr>
        <w:snapToGrid w:val="0"/>
        <w:ind w:firstLine="53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3．论述题 。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六、参考教材</w:t>
      </w:r>
    </w:p>
    <w:p>
      <w:pPr>
        <w:snapToGrid w:val="0"/>
        <w:ind w:firstLine="524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易纲、黄有晶主编《货币银行学》，上海人民出版社，2014年。</w:t>
      </w:r>
    </w:p>
    <w:p>
      <w:pPr>
        <w:snapToGrid w:val="0"/>
        <w:ind w:firstLine="524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刘淑娥、赵秀艳主编《国际金融》，中国人民大学出版社，2</w:t>
      </w:r>
      <w:r>
        <w:rPr>
          <w:rFonts w:ascii="宋体" w:hAnsi="宋体"/>
          <w:sz w:val="24"/>
        </w:rPr>
        <w:t>01</w:t>
      </w:r>
      <w:r>
        <w:rPr>
          <w:rFonts w:hint="eastAsia" w:ascii="宋体" w:hAnsi="宋体"/>
          <w:sz w:val="24"/>
        </w:rPr>
        <w:t>7年。</w:t>
      </w:r>
    </w:p>
    <w:p>
      <w:pPr>
        <w:snapToGrid w:val="0"/>
        <w:ind w:firstLine="517" w:firstLineChars="19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汪昌云、类承曜、谭松涛主编《金融学》第四版，中国人民大学出版社，2</w:t>
      </w:r>
      <w:r>
        <w:rPr>
          <w:rFonts w:ascii="宋体" w:hAnsi="宋体"/>
          <w:sz w:val="24"/>
        </w:rPr>
        <w:t>01</w:t>
      </w:r>
      <w:r>
        <w:rPr>
          <w:rFonts w:hint="eastAsia" w:ascii="宋体" w:hAnsi="宋体"/>
          <w:sz w:val="24"/>
        </w:rPr>
        <w:t>3年。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七、考试内容和要求</w:t>
      </w:r>
    </w:p>
    <w:p>
      <w:pPr>
        <w:snapToGrid w:val="0"/>
        <w:jc w:val="center"/>
        <w:rPr>
          <w:b/>
          <w:sz w:val="24"/>
        </w:rPr>
      </w:pPr>
      <w:r>
        <w:rPr>
          <w:rFonts w:hint="eastAsia" w:ascii="宋体" w:hAnsi="宋体"/>
          <w:b/>
          <w:sz w:val="24"/>
        </w:rPr>
        <w:t>第一部分 货币银行部分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1、货币、信用与利息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货币与货币制度：货币的起源和发展、货币的职能、货币制度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信用：信用的产生与发展、现代信用的基本形式、各种主要的信用工具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利息与利率：利息本质的理论、利率的种类、利率的作用、利率的决定、利率的结构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2、金融市场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直接融资与间接融资、金融市场的功能、金融市场的分类、金融创新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货币市场：特征、主要工具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资本市场：特征、主要工具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其他金融市场与工具：金融衍生产品及市场、外汇市场、黄金市场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3、金融机构体系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商业银行：产生与发展、主要业务、经营管理、巴塞尔协议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投资银行：产生与发展、主要业务、分业经营与混业经营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其他金融机构：存款型、契约型、投资型、政策型</w:t>
      </w:r>
    </w:p>
    <w:p>
      <w:pPr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中央银行：产生与发展、主要业务、性质与地位、职能与作用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金融危机与金融监管：金融危机的原因与表现、金融监管的必要性与主要措施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4、货币理论与政策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货币供给：商业银行存款创造、基础货币、货币乘数、内生性与外生性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货币需求：影响货币需求的因素、传统货币数量说、流动性偏好理论及其发展、现代货币数量说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货币政策：货币政策工具、货币政策中间目标、货币政策最终目标、菲利普斯曲线、单一规则与相机抉择、货币政策的传导机制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通货膨胀与通货紧缩：通货膨胀的度量、成因与治理、通货紧缩</w:t>
      </w:r>
    </w:p>
    <w:p>
      <w:pPr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金融与经济发展：金融抑制、金融发展</w:t>
      </w:r>
    </w:p>
    <w:p>
      <w:pPr>
        <w:snapToGrid w:val="0"/>
        <w:rPr>
          <w:rFonts w:ascii="宋体" w:hAnsi="宋体"/>
          <w:sz w:val="24"/>
        </w:rPr>
      </w:pPr>
    </w:p>
    <w:p>
      <w:pPr>
        <w:snapToGrid w:val="0"/>
        <w:jc w:val="center"/>
        <w:rPr>
          <w:b/>
          <w:sz w:val="24"/>
        </w:rPr>
      </w:pPr>
      <w:r>
        <w:rPr>
          <w:rFonts w:hint="eastAsia" w:ascii="宋体" w:hAnsi="宋体"/>
          <w:b/>
          <w:sz w:val="24"/>
        </w:rPr>
        <w:t>第二部分 国际金融部分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1、国际收支及宏观经济均衡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国际收支的概念、国际收支平衡表的内容、各种国际收支理论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国际收支分析方法、国际收支性质上的不平衡及其成因、国际收支的自动调节机制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国际收支的弹性论、吸收论、乘数论和货币论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国际收支失衡的政策调节方法及其效能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开放经济条件下的内部与外部均衡、丁伯根法则和政策分配原则、蒙代尔模型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2、外汇、汇率及汇率制度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外汇的概念及货币的可兑换性、汇率的标价方法及货币的升值与贬值、汇率种类、外汇风险、外汇市场的概念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汇率的决定基础、各种汇率决定理论、各种外汇交易和外汇风险防范方法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影响汇率变动的主要因素、汇率变动对经济的影响、购买力平价论、利率平价论、货币论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固定汇率、浮动汇率及中间汇率制度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3、国际储备和国际货币体系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国际储备的内涵、国际清偿力、国际储备的规模与结构管理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多种货币储备体系的成因和特点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币值、利率与汇率国际金本位制度和储备货币本位制度的运作机制、布雷顿森林体系的建立及其崩溃、牙买加体系的成因、欧元区的形成与发展</w:t>
      </w:r>
    </w:p>
    <w:p>
      <w:pPr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中国的国际储备管理和人民币国际化</w:t>
      </w:r>
    </w:p>
    <w:p>
      <w:pPr>
        <w:snapToGrid w:val="0"/>
        <w:rPr>
          <w:rFonts w:ascii="宋体" w:hAnsi="宋体"/>
          <w:sz w:val="24"/>
        </w:rPr>
      </w:pPr>
    </w:p>
    <w:p>
      <w:pPr>
        <w:snapToGrid w:val="0"/>
        <w:jc w:val="center"/>
        <w:rPr>
          <w:b/>
          <w:sz w:val="24"/>
        </w:rPr>
      </w:pPr>
      <w:r>
        <w:rPr>
          <w:rFonts w:hint="eastAsia" w:ascii="宋体" w:hAnsi="宋体"/>
          <w:b/>
          <w:sz w:val="24"/>
        </w:rPr>
        <w:t>第三部分 投资学部分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1、证券市场和证券投资的收益与风险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证券、投资、金融市场、各类金融工具的概念、特点及分类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证券市场主体、证券市场中介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证券发行与交易的方式和运行规则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证券投资收益和风险的种类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各种收益率的计算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2、证券投资组合管理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最佳资产组合的选择和投资分散化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有效市场理论</w:t>
      </w:r>
    </w:p>
    <w:p>
      <w:pPr>
        <w:snapToGrid w:val="0"/>
        <w:ind w:left="395" w:hanging="393" w:hanging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● 资本资产定价模型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因素模型、套利定价理论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3、投资工具分析和投资业绩评估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股票定价模型与股票投资分析</w:t>
      </w:r>
    </w:p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债券定价分析与债券组合管理</w:t>
      </w:r>
    </w:p>
    <w:p>
      <w:pPr>
        <w:snapToGrid w:val="0"/>
        <w:ind w:left="395" w:hanging="393" w:hangingChars="14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● 证券投资基金的运作与管理</w:t>
      </w:r>
    </w:p>
    <w:p>
      <w:pPr>
        <w:snapToGrid w:val="0"/>
        <w:rPr>
          <w:rFonts w:ascii="宋体" w:hAnsi="宋体"/>
          <w:sz w:val="24"/>
        </w:rPr>
      </w:pPr>
    </w:p>
    <w:p>
      <w:pPr>
        <w:snapToGrid w:val="0"/>
        <w:ind w:firstLine="7117" w:firstLineChars="265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二〇二一年九月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AndChars" w:linePitch="38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BF"/>
    <w:rsid w:val="00002693"/>
    <w:rsid w:val="000441BA"/>
    <w:rsid w:val="00060196"/>
    <w:rsid w:val="00062D1B"/>
    <w:rsid w:val="00126D4F"/>
    <w:rsid w:val="00191B7B"/>
    <w:rsid w:val="00253137"/>
    <w:rsid w:val="002A06F0"/>
    <w:rsid w:val="00346C7A"/>
    <w:rsid w:val="00364637"/>
    <w:rsid w:val="00427497"/>
    <w:rsid w:val="004A25D4"/>
    <w:rsid w:val="005A6371"/>
    <w:rsid w:val="00674382"/>
    <w:rsid w:val="007667D0"/>
    <w:rsid w:val="007A1603"/>
    <w:rsid w:val="007B367C"/>
    <w:rsid w:val="00864E28"/>
    <w:rsid w:val="0089151D"/>
    <w:rsid w:val="008C5CDC"/>
    <w:rsid w:val="008E0023"/>
    <w:rsid w:val="00933A81"/>
    <w:rsid w:val="009D0341"/>
    <w:rsid w:val="00B630D4"/>
    <w:rsid w:val="00D45A3A"/>
    <w:rsid w:val="00D81FE0"/>
    <w:rsid w:val="00E60974"/>
    <w:rsid w:val="00EC5CBF"/>
    <w:rsid w:val="00F621C2"/>
    <w:rsid w:val="00F71047"/>
    <w:rsid w:val="03D3527D"/>
    <w:rsid w:val="19D31DD7"/>
    <w:rsid w:val="66DC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wit</Company>
  <Pages>4</Pages>
  <Words>260</Words>
  <Characters>1484</Characters>
  <Lines>12</Lines>
  <Paragraphs>3</Paragraphs>
  <TotalTime>0</TotalTime>
  <ScaleCrop>false</ScaleCrop>
  <LinksUpToDate>false</LinksUpToDate>
  <CharactersWithSpaces>1741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2021-09-13T08:40:00Z</dcterms:created>
  <dc:creator>书科 付</dc:creator>
  <cp:lastModifiedBy>Administrator</cp:lastModifiedBy>
  <dcterms:modified xsi:type="dcterms:W3CDTF">2021-09-22T05:17:09Z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