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sz w:val="28"/>
          <w:szCs w:val="28"/>
        </w:rPr>
      </w:pPr>
      <w:r>
        <w:rPr>
          <w:rFonts w:ascii="黑体" w:hAnsi="黑体" w:eastAsia="黑体" w:cs="宋体"/>
          <w:b/>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s="宋体"/>
          <w:b/>
          <w:sz w:val="28"/>
          <w:szCs w:val="28"/>
        </w:rPr>
        <w:instrText xml:space="preserve">ADDIN CNKISM.UserStyle</w:instrText>
      </w:r>
      <w:r>
        <w:rPr>
          <w:rFonts w:ascii="黑体" w:hAnsi="黑体" w:eastAsia="黑体" w:cs="宋体"/>
          <w:b/>
          <w:sz w:val="28"/>
          <w:szCs w:val="28"/>
        </w:rPr>
        <w:fldChar w:fldCharType="separate"/>
      </w:r>
      <w:r>
        <w:rPr>
          <w:rFonts w:ascii="黑体" w:hAnsi="黑体" w:eastAsia="黑体" w:cs="宋体"/>
          <w:b/>
          <w:sz w:val="28"/>
          <w:szCs w:val="28"/>
        </w:rPr>
        <w:fldChar w:fldCharType="end"/>
      </w:r>
      <w:r>
        <w:rPr>
          <w:rFonts w:hint="eastAsia" w:ascii="黑体" w:hAnsi="黑体" w:eastAsia="黑体" w:cs="宋体"/>
          <w:b/>
          <w:sz w:val="28"/>
          <w:szCs w:val="28"/>
        </w:rPr>
        <w:t>新疆农业大学硕士研究生入学考试</w:t>
      </w:r>
    </w:p>
    <w:p>
      <w:pPr>
        <w:widowControl/>
        <w:ind w:firstLine="2380" w:firstLineChars="700"/>
        <w:rPr>
          <w:rFonts w:ascii="Verdana" w:hAnsi="Verdana" w:cs="宋体"/>
          <w:kern w:val="0"/>
          <w:sz w:val="18"/>
          <w:szCs w:val="18"/>
        </w:rPr>
      </w:pPr>
      <w:r>
        <w:rPr>
          <w:rFonts w:hint="eastAsia" w:ascii="黑体" w:hAnsi="Verdana" w:eastAsia="黑体" w:cs="宋体"/>
          <w:kern w:val="0"/>
          <w:sz w:val="34"/>
          <w:szCs w:val="34"/>
        </w:rPr>
        <w:t>《国际商务专业基础》考试大纲</w:t>
      </w:r>
    </w:p>
    <w:p>
      <w:pPr>
        <w:widowControl/>
        <w:jc w:val="center"/>
        <w:rPr>
          <w:rFonts w:ascii="Verdana" w:hAnsi="Verdana" w:cs="宋体"/>
          <w:kern w:val="0"/>
          <w:sz w:val="20"/>
          <w:szCs w:val="20"/>
        </w:rPr>
      </w:pPr>
    </w:p>
    <w:tbl>
      <w:tblPr>
        <w:tblStyle w:val="5"/>
        <w:tblW w:w="10106" w:type="dxa"/>
        <w:jc w:val="center"/>
        <w:tblInd w:w="0" w:type="dxa"/>
        <w:tblLayout w:type="fixed"/>
        <w:tblCellMar>
          <w:top w:w="0" w:type="dxa"/>
          <w:left w:w="0" w:type="dxa"/>
          <w:bottom w:w="0" w:type="dxa"/>
          <w:right w:w="0" w:type="dxa"/>
        </w:tblCellMar>
      </w:tblPr>
      <w:tblGrid>
        <w:gridCol w:w="1778"/>
        <w:gridCol w:w="2527"/>
        <w:gridCol w:w="1779"/>
        <w:gridCol w:w="4022"/>
      </w:tblGrid>
      <w:tr>
        <w:tblPrEx>
          <w:tblLayout w:type="fixed"/>
          <w:tblCellMar>
            <w:top w:w="0" w:type="dxa"/>
            <w:left w:w="0" w:type="dxa"/>
            <w:bottom w:w="0" w:type="dxa"/>
            <w:right w:w="0" w:type="dxa"/>
          </w:tblCellMar>
        </w:tblPrEx>
        <w:trPr>
          <w:jc w:val="center"/>
        </w:trPr>
        <w:tc>
          <w:tcPr>
            <w:tcW w:w="1778"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命题方式</w:t>
            </w:r>
            <w:r>
              <w:rPr>
                <w:rFonts w:ascii="Verdana" w:hAnsi="Verdana" w:cs="宋体"/>
                <w:kern w:val="0"/>
                <w:sz w:val="18"/>
                <w:szCs w:val="18"/>
              </w:rPr>
              <w:t xml:space="preserve"> </w:t>
            </w:r>
          </w:p>
        </w:tc>
        <w:tc>
          <w:tcPr>
            <w:tcW w:w="2527"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招生单位自命题 </w:t>
            </w:r>
          </w:p>
        </w:tc>
        <w:tc>
          <w:tcPr>
            <w:tcW w:w="1779"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科目类别</w:t>
            </w:r>
            <w:r>
              <w:rPr>
                <w:rFonts w:ascii="Verdana" w:hAnsi="Verdana" w:cs="宋体"/>
                <w:kern w:val="0"/>
                <w:sz w:val="18"/>
                <w:szCs w:val="18"/>
              </w:rPr>
              <w:t xml:space="preserve"> </w:t>
            </w:r>
          </w:p>
        </w:tc>
        <w:tc>
          <w:tcPr>
            <w:tcW w:w="4022" w:type="dxa"/>
            <w:tcBorders>
              <w:top w:val="single" w:color="000000" w:sz="12" w:space="0"/>
              <w:bottom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初试 </w:t>
            </w:r>
          </w:p>
        </w:tc>
      </w:tr>
      <w:tr>
        <w:tblPrEx>
          <w:tblLayout w:type="fixed"/>
          <w:tblCellMar>
            <w:top w:w="0" w:type="dxa"/>
            <w:left w:w="0" w:type="dxa"/>
            <w:bottom w:w="0" w:type="dxa"/>
            <w:right w:w="0" w:type="dxa"/>
          </w:tblCellMar>
        </w:tblPrEx>
        <w:trPr>
          <w:jc w:val="center"/>
        </w:trPr>
        <w:tc>
          <w:tcPr>
            <w:tcW w:w="1778" w:type="dxa"/>
            <w:tcBorders>
              <w:top w:val="single" w:color="000000" w:sz="6"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满分</w:t>
            </w:r>
            <w:r>
              <w:rPr>
                <w:rFonts w:ascii="Verdana" w:hAnsi="Verdana" w:cs="宋体"/>
                <w:kern w:val="0"/>
                <w:sz w:val="18"/>
                <w:szCs w:val="18"/>
              </w:rPr>
              <w:t xml:space="preserve"> </w:t>
            </w:r>
          </w:p>
        </w:tc>
        <w:tc>
          <w:tcPr>
            <w:tcW w:w="8328" w:type="dxa"/>
            <w:gridSpan w:val="3"/>
            <w:tcBorders>
              <w:top w:val="single" w:color="000000" w:sz="6" w:space="0"/>
            </w:tcBorders>
            <w:tcMar>
              <w:top w:w="0" w:type="dxa"/>
              <w:left w:w="200" w:type="dxa"/>
              <w:bottom w:w="0" w:type="dxa"/>
              <w:right w:w="160" w:type="dxa"/>
            </w:tcMar>
            <w:vAlign w:val="center"/>
          </w:tcPr>
          <w:p>
            <w:pPr>
              <w:widowControl/>
              <w:spacing w:line="375" w:lineRule="atLeast"/>
              <w:rPr>
                <w:rFonts w:ascii="Verdana" w:hAnsi="Verdana" w:cs="宋体"/>
                <w:kern w:val="0"/>
                <w:sz w:val="18"/>
                <w:szCs w:val="18"/>
              </w:rPr>
            </w:pPr>
            <w:r>
              <w:rPr>
                <w:rFonts w:hint="eastAsia" w:ascii="Verdana" w:hAnsi="Verdana" w:cs="宋体"/>
                <w:kern w:val="0"/>
                <w:sz w:val="18"/>
                <w:szCs w:val="18"/>
              </w:rPr>
              <w:t>150</w:t>
            </w:r>
          </w:p>
        </w:tc>
      </w:tr>
      <w:tr>
        <w:tblPrEx>
          <w:tblLayout w:type="fixed"/>
          <w:tblCellMar>
            <w:top w:w="0" w:type="dxa"/>
            <w:left w:w="0" w:type="dxa"/>
            <w:bottom w:w="0" w:type="dxa"/>
            <w:right w:w="0" w:type="dxa"/>
          </w:tblCellMar>
        </w:tblPrEx>
        <w:trPr>
          <w:trHeight w:val="1143" w:hRule="atLeast"/>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snapToGrid w:val="0"/>
              <w:spacing w:line="360" w:lineRule="auto"/>
              <w:ind w:firstLine="420"/>
              <w:rPr>
                <w:rFonts w:ascii="Verdana" w:hAnsi="Verdana" w:cs="宋体"/>
                <w:kern w:val="0"/>
                <w:sz w:val="18"/>
                <w:szCs w:val="18"/>
              </w:rPr>
            </w:pPr>
            <w:r>
              <w:rPr>
                <w:rFonts w:ascii="Verdana" w:hAnsi="Verdana" w:cs="宋体"/>
                <w:b/>
                <w:bCs/>
                <w:kern w:val="0"/>
                <w:sz w:val="18"/>
              </w:rPr>
              <w:t>考试性质</w:t>
            </w:r>
            <w:r>
              <w:rPr>
                <w:rFonts w:ascii="Verdana" w:hAnsi="Verdana" w:cs="宋体"/>
                <w:kern w:val="0"/>
                <w:sz w:val="18"/>
                <w:szCs w:val="18"/>
              </w:rPr>
              <w:br w:type="textWrapping"/>
            </w:r>
            <w:r>
              <w:rPr>
                <w:rFonts w:hint="eastAsia"/>
              </w:rPr>
              <w:t>《国际商务专业基础》是国际商务硕士(MIB)专业学位研究生入学统一考试的科目之一。国际商务专业基础考查内容主要包含国际贸易理论与政策、国际直接投资与跨国公司、国际金融、国际商务环境与运营等国际商务专业基础知识、基本理论和基本技能，并能够运用相关基本原理分析国际商务现象，以利于选拔具有发展潜力的优秀人才入学，培养具有良好职业操守和国际视野、具有较强跨文化沟通以及分析与解决实际问题能力的高层次、应用型、复合型国际商务专业人才。</w:t>
            </w:r>
          </w:p>
        </w:tc>
      </w:tr>
      <w:tr>
        <w:tblPrEx>
          <w:tblLayout w:type="fixed"/>
          <w:tblCellMar>
            <w:top w:w="0" w:type="dxa"/>
            <w:left w:w="0" w:type="dxa"/>
            <w:bottom w:w="0" w:type="dxa"/>
            <w:right w:w="0" w:type="dxa"/>
          </w:tblCellMar>
        </w:tblPrEx>
        <w:trPr>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snapToGrid w:val="0"/>
              <w:spacing w:line="360" w:lineRule="auto"/>
              <w:ind w:firstLine="420"/>
            </w:pPr>
            <w:r>
              <w:rPr>
                <w:rFonts w:ascii="Verdana" w:hAnsi="Verdana" w:cs="宋体"/>
                <w:b/>
                <w:bCs/>
                <w:kern w:val="0"/>
                <w:sz w:val="18"/>
              </w:rPr>
              <w:t>考试内容和考试要求</w:t>
            </w:r>
            <w:r>
              <w:rPr>
                <w:rFonts w:ascii="Verdana" w:hAnsi="Verdana" w:cs="宋体"/>
                <w:kern w:val="0"/>
                <w:sz w:val="18"/>
                <w:szCs w:val="18"/>
              </w:rPr>
              <w:br w:type="textWrapping"/>
            </w:r>
            <w:r>
              <w:rPr>
                <w:rFonts w:hint="eastAsia"/>
                <w:b/>
                <w:bCs/>
              </w:rPr>
              <w:t>1.考试要求</w:t>
            </w:r>
          </w:p>
          <w:p>
            <w:pPr>
              <w:snapToGrid w:val="0"/>
              <w:spacing w:line="360" w:lineRule="auto"/>
              <w:ind w:firstLine="420"/>
            </w:pPr>
            <w:r>
              <w:rPr>
                <w:rFonts w:hint="eastAsia"/>
              </w:rPr>
              <w:t>测试考生对于国际商务相关的基本概念、基本理论、基础知识的掌握情况以及综合运用分析和解决国际商务现实问题的能力。</w:t>
            </w:r>
          </w:p>
          <w:p>
            <w:pPr>
              <w:numPr>
                <w:ilvl w:val="0"/>
                <w:numId w:val="1"/>
              </w:numPr>
              <w:snapToGrid w:val="0"/>
              <w:spacing w:line="360" w:lineRule="auto"/>
              <w:rPr>
                <w:b/>
                <w:bCs/>
              </w:rPr>
            </w:pPr>
            <w:r>
              <w:rPr>
                <w:rFonts w:hint="eastAsia"/>
                <w:b/>
                <w:bCs/>
              </w:rPr>
              <w:t>考试内容</w:t>
            </w:r>
          </w:p>
          <w:p>
            <w:pPr>
              <w:snapToGrid w:val="0"/>
              <w:spacing w:line="360" w:lineRule="auto"/>
              <w:ind w:firstLine="42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国际商务专业基础考查内容主要包含国际贸易理论与政策、国际直接投资与跨国公司、国际金融、国际商务环境与运营等国际商务专业基础知识、基本理论和基本技能，并能够运用相关基本原理分析国际商务现象。</w:t>
            </w:r>
          </w:p>
          <w:p>
            <w:pPr>
              <w:spacing w:line="360" w:lineRule="auto"/>
              <w:ind w:firstLine="211" w:firstLineChars="1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第一部分 国际贸易理论与政策</w:t>
            </w:r>
          </w:p>
          <w:p>
            <w:pPr>
              <w:numPr>
                <w:ilvl w:val="0"/>
                <w:numId w:val="2"/>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国际贸易理论</w:t>
            </w:r>
          </w:p>
          <w:p>
            <w:pPr>
              <w:spacing w:line="360" w:lineRule="auto"/>
              <w:ind w:left="420"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第一节 </w:t>
            </w:r>
            <w:r>
              <w:rPr>
                <w:rFonts w:hint="eastAsia" w:asciiTheme="minorEastAsia" w:hAnsiTheme="minorEastAsia" w:eastAsiaTheme="minorEastAsia" w:cstheme="minorEastAsia"/>
                <w:sz w:val="21"/>
                <w:szCs w:val="21"/>
                <w:lang w:eastAsia="zh-CN"/>
              </w:rPr>
              <w:t>古典国际贸易理论</w:t>
            </w:r>
          </w:p>
          <w:p>
            <w:pPr>
              <w:spacing w:line="360" w:lineRule="auto"/>
              <w:ind w:left="42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第二节 </w:t>
            </w:r>
            <w:r>
              <w:rPr>
                <w:rFonts w:hint="eastAsia" w:asciiTheme="minorEastAsia" w:hAnsiTheme="minorEastAsia" w:eastAsiaTheme="minorEastAsia" w:cstheme="minorEastAsia"/>
                <w:sz w:val="21"/>
                <w:szCs w:val="21"/>
                <w:lang w:eastAsia="zh-CN"/>
              </w:rPr>
              <w:t>新古典国际贸易理论</w:t>
            </w:r>
          </w:p>
          <w:p>
            <w:pPr>
              <w:spacing w:line="360" w:lineRule="auto"/>
              <w:ind w:left="42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第三节 </w:t>
            </w:r>
            <w:r>
              <w:rPr>
                <w:rFonts w:hint="eastAsia" w:asciiTheme="minorEastAsia" w:hAnsiTheme="minorEastAsia" w:eastAsiaTheme="minorEastAsia" w:cstheme="minorEastAsia"/>
                <w:sz w:val="21"/>
                <w:szCs w:val="21"/>
                <w:lang w:eastAsia="zh-CN"/>
              </w:rPr>
              <w:t>现代国际贸易</w:t>
            </w:r>
            <w:r>
              <w:rPr>
                <w:rFonts w:hint="eastAsia" w:asciiTheme="minorEastAsia" w:hAnsiTheme="minorEastAsia" w:eastAsiaTheme="minorEastAsia" w:cstheme="minorEastAsia"/>
                <w:sz w:val="21"/>
                <w:szCs w:val="21"/>
              </w:rPr>
              <w:t>理论</w:t>
            </w:r>
          </w:p>
          <w:p>
            <w:pPr>
              <w:spacing w:line="360" w:lineRule="auto"/>
              <w:ind w:left="42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第四节 </w:t>
            </w:r>
            <w:r>
              <w:rPr>
                <w:rFonts w:hint="eastAsia" w:asciiTheme="minorEastAsia" w:hAnsiTheme="minorEastAsia" w:eastAsiaTheme="minorEastAsia" w:cstheme="minorEastAsia"/>
                <w:sz w:val="21"/>
                <w:szCs w:val="21"/>
                <w:lang w:eastAsia="zh-CN"/>
              </w:rPr>
              <w:t>经济增长与国际贸易</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第二章 国际贸易</w:t>
            </w:r>
            <w:r>
              <w:rPr>
                <w:rFonts w:hint="eastAsia" w:asciiTheme="minorEastAsia" w:hAnsiTheme="minorEastAsia" w:eastAsiaTheme="minorEastAsia" w:cstheme="minorEastAsia"/>
                <w:sz w:val="21"/>
                <w:szCs w:val="21"/>
                <w:lang w:eastAsia="zh-CN"/>
              </w:rPr>
              <w:t>措施与</w:t>
            </w:r>
            <w:r>
              <w:rPr>
                <w:rFonts w:hint="eastAsia" w:asciiTheme="minorEastAsia" w:hAnsiTheme="minorEastAsia" w:eastAsiaTheme="minorEastAsia" w:cstheme="minorEastAsia"/>
                <w:sz w:val="21"/>
                <w:szCs w:val="21"/>
              </w:rPr>
              <w:t>政策</w:t>
            </w:r>
          </w:p>
          <w:p>
            <w:pPr>
              <w:numPr>
                <w:ilvl w:val="0"/>
                <w:numId w:val="3"/>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关税</w:t>
            </w:r>
            <w:r>
              <w:rPr>
                <w:rFonts w:hint="eastAsia" w:asciiTheme="minorEastAsia" w:hAnsiTheme="minorEastAsia" w:eastAsiaTheme="minorEastAsia" w:cstheme="minorEastAsia"/>
                <w:sz w:val="21"/>
                <w:szCs w:val="21"/>
                <w:lang w:eastAsia="zh-CN"/>
              </w:rPr>
              <w:t>及其经济效应</w:t>
            </w:r>
          </w:p>
          <w:p>
            <w:pPr>
              <w:numPr>
                <w:ilvl w:val="0"/>
                <w:numId w:val="3"/>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非关税措施</w:t>
            </w:r>
          </w:p>
          <w:p>
            <w:pPr>
              <w:numPr>
                <w:ilvl w:val="0"/>
                <w:numId w:val="3"/>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鼓励出口的措施</w:t>
            </w:r>
          </w:p>
          <w:p>
            <w:pPr>
              <w:numPr>
                <w:ilvl w:val="0"/>
                <w:numId w:val="3"/>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世界贸易组织及其相关协定</w:t>
            </w:r>
          </w:p>
          <w:p>
            <w:pPr>
              <w:numPr>
                <w:ilvl w:val="0"/>
                <w:numId w:val="3"/>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国际贸易政策类型</w:t>
            </w:r>
          </w:p>
          <w:p>
            <w:pPr>
              <w:numPr>
                <w:ilvl w:val="0"/>
                <w:numId w:val="0"/>
              </w:numPr>
              <w:spacing w:line="360" w:lineRule="auto"/>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第三章</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货物贸易与服务贸易</w:t>
            </w:r>
          </w:p>
          <w:p>
            <w:pPr>
              <w:numPr>
                <w:ilvl w:val="1"/>
                <w:numId w:val="2"/>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货物贸易及其</w:t>
            </w:r>
            <w:r>
              <w:rPr>
                <w:rFonts w:hint="eastAsia" w:asciiTheme="minorEastAsia" w:hAnsiTheme="minorEastAsia" w:eastAsiaTheme="minorEastAsia" w:cstheme="minorEastAsia"/>
                <w:sz w:val="21"/>
                <w:szCs w:val="21"/>
                <w:lang w:eastAsia="zh-CN"/>
              </w:rPr>
              <w:t>常用的统计指标</w:t>
            </w:r>
          </w:p>
          <w:p>
            <w:pPr>
              <w:numPr>
                <w:ilvl w:val="1"/>
                <w:numId w:val="2"/>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服务贸易</w:t>
            </w:r>
            <w:r>
              <w:rPr>
                <w:rFonts w:hint="eastAsia" w:asciiTheme="minorEastAsia" w:hAnsiTheme="minorEastAsia" w:eastAsiaTheme="minorEastAsia" w:cstheme="minorEastAsia"/>
                <w:sz w:val="21"/>
                <w:szCs w:val="21"/>
                <w:lang w:eastAsia="zh-CN"/>
              </w:rPr>
              <w:t>的内涵及发展</w:t>
            </w:r>
          </w:p>
          <w:p>
            <w:pPr>
              <w:numPr>
                <w:ilvl w:val="1"/>
                <w:numId w:val="2"/>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技术贸易</w:t>
            </w:r>
            <w:r>
              <w:rPr>
                <w:rFonts w:hint="eastAsia" w:asciiTheme="minorEastAsia" w:hAnsiTheme="minorEastAsia" w:eastAsiaTheme="minorEastAsia" w:cstheme="minorEastAsia"/>
                <w:sz w:val="21"/>
                <w:szCs w:val="21"/>
                <w:lang w:eastAsia="zh-CN"/>
              </w:rPr>
              <w:t>的内涵及发展</w:t>
            </w:r>
          </w:p>
          <w:p>
            <w:pPr>
              <w:numPr>
                <w:ilvl w:val="1"/>
                <w:numId w:val="2"/>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国际贸易的创新方式</w:t>
            </w:r>
          </w:p>
          <w:p>
            <w:pPr>
              <w:numPr>
                <w:ilvl w:val="0"/>
                <w:numId w:val="0"/>
              </w:numPr>
              <w:spacing w:line="360" w:lineRule="auto"/>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第四章</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区域经济一体化与多边贸易体制</w:t>
            </w:r>
          </w:p>
          <w:p>
            <w:pPr>
              <w:numPr>
                <w:ilvl w:val="0"/>
                <w:numId w:val="4"/>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经济全球化与</w:t>
            </w:r>
            <w:r>
              <w:rPr>
                <w:rFonts w:hint="eastAsia" w:asciiTheme="minorEastAsia" w:hAnsiTheme="minorEastAsia" w:eastAsiaTheme="minorEastAsia" w:cstheme="minorEastAsia"/>
                <w:sz w:val="21"/>
                <w:szCs w:val="21"/>
                <w:lang w:eastAsia="zh-CN"/>
              </w:rPr>
              <w:t>多边贸易体制的发展</w:t>
            </w:r>
          </w:p>
          <w:p>
            <w:pPr>
              <w:numPr>
                <w:ilvl w:val="0"/>
                <w:numId w:val="4"/>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区域经济</w:t>
            </w:r>
            <w:r>
              <w:rPr>
                <w:rFonts w:hint="eastAsia" w:asciiTheme="minorEastAsia" w:hAnsiTheme="minorEastAsia" w:eastAsiaTheme="minorEastAsia" w:cstheme="minorEastAsia"/>
                <w:sz w:val="21"/>
                <w:szCs w:val="21"/>
              </w:rPr>
              <w:t>一体化</w:t>
            </w:r>
            <w:r>
              <w:rPr>
                <w:rFonts w:hint="eastAsia" w:asciiTheme="minorEastAsia" w:hAnsiTheme="minorEastAsia" w:eastAsiaTheme="minorEastAsia" w:cstheme="minorEastAsia"/>
                <w:sz w:val="21"/>
                <w:szCs w:val="21"/>
                <w:lang w:eastAsia="zh-CN"/>
              </w:rPr>
              <w:t>的发展</w:t>
            </w:r>
          </w:p>
          <w:p>
            <w:pPr>
              <w:numPr>
                <w:ilvl w:val="0"/>
                <w:numId w:val="4"/>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区域经济一体化理论</w:t>
            </w:r>
          </w:p>
          <w:p>
            <w:pPr>
              <w:numPr>
                <w:ilvl w:val="0"/>
                <w:numId w:val="4"/>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中国的区域经济合作实践</w:t>
            </w: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第二部分  国际直接投资与跨国公司</w:t>
            </w:r>
          </w:p>
          <w:p>
            <w:pPr>
              <w:numPr>
                <w:ilvl w:val="0"/>
                <w:numId w:val="5"/>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国际直接投资与跨国公司</w:t>
            </w:r>
          </w:p>
          <w:p>
            <w:pPr>
              <w:numPr>
                <w:ilvl w:val="0"/>
                <w:numId w:val="6"/>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国际直接投资与跨国公司理论</w:t>
            </w:r>
          </w:p>
          <w:p>
            <w:pPr>
              <w:numPr>
                <w:ilvl w:val="0"/>
                <w:numId w:val="6"/>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水平与垂直型对外直接投资</w:t>
            </w:r>
          </w:p>
          <w:p>
            <w:pPr>
              <w:numPr>
                <w:ilvl w:val="0"/>
                <w:numId w:val="6"/>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跨国公司发展及其主要类型</w:t>
            </w:r>
          </w:p>
          <w:p>
            <w:pPr>
              <w:numPr>
                <w:ilvl w:val="0"/>
                <w:numId w:val="6"/>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中国跨国公司的理论与实践</w:t>
            </w:r>
          </w:p>
          <w:p>
            <w:pPr>
              <w:spacing w:line="360" w:lineRule="auto"/>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第二章 企业对外直接投资的战略决策</w:t>
            </w:r>
          </w:p>
          <w:p>
            <w:pPr>
              <w:numPr>
                <w:ilvl w:val="0"/>
                <w:numId w:val="7"/>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对外直接投资的选址决策</w:t>
            </w:r>
          </w:p>
          <w:p>
            <w:pPr>
              <w:numPr>
                <w:ilvl w:val="0"/>
                <w:numId w:val="7"/>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对外直接投资的时机决策</w:t>
            </w:r>
          </w:p>
          <w:p>
            <w:pPr>
              <w:numPr>
                <w:ilvl w:val="0"/>
                <w:numId w:val="7"/>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对外直接投资进入模式决策</w:t>
            </w:r>
          </w:p>
          <w:p>
            <w:pPr>
              <w:spacing w:line="360" w:lineRule="auto"/>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第三章 对外直接投资的母国与东道国效应</w:t>
            </w:r>
          </w:p>
          <w:p>
            <w:pPr>
              <w:numPr>
                <w:ilvl w:val="0"/>
                <w:numId w:val="8"/>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对外直接投资与母国利益和代价</w:t>
            </w:r>
          </w:p>
          <w:p>
            <w:pPr>
              <w:numPr>
                <w:ilvl w:val="0"/>
                <w:numId w:val="8"/>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对外直接投资与东道国效应</w:t>
            </w:r>
          </w:p>
          <w:p>
            <w:pPr>
              <w:numPr>
                <w:ilvl w:val="0"/>
                <w:numId w:val="8"/>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对外直接投资中的政府行为</w:t>
            </w:r>
          </w:p>
          <w:p>
            <w:pPr>
              <w:numPr>
                <w:ilvl w:val="0"/>
                <w:numId w:val="8"/>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国际企业与政府的议价能力</w:t>
            </w: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第三部分   国际金融</w:t>
            </w:r>
          </w:p>
          <w:p>
            <w:pPr>
              <w:spacing w:line="360" w:lineRule="auto"/>
              <w:ind w:left="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第一章 国际货币体系与汇率制度</w:t>
            </w:r>
          </w:p>
          <w:p>
            <w:pPr>
              <w:spacing w:line="360" w:lineRule="auto"/>
              <w:ind w:left="84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第一节  </w:t>
            </w:r>
            <w:r>
              <w:rPr>
                <w:rFonts w:hint="eastAsia" w:asciiTheme="minorEastAsia" w:hAnsiTheme="minorEastAsia" w:eastAsiaTheme="minorEastAsia" w:cstheme="minorEastAsia"/>
                <w:sz w:val="21"/>
                <w:szCs w:val="21"/>
                <w:lang w:eastAsia="zh-CN"/>
              </w:rPr>
              <w:t>国际</w:t>
            </w:r>
            <w:r>
              <w:rPr>
                <w:rFonts w:hint="eastAsia" w:asciiTheme="minorEastAsia" w:hAnsiTheme="minorEastAsia" w:eastAsiaTheme="minorEastAsia" w:cstheme="minorEastAsia"/>
                <w:sz w:val="21"/>
                <w:szCs w:val="21"/>
              </w:rPr>
              <w:t>金本位</w:t>
            </w:r>
            <w:r>
              <w:rPr>
                <w:rFonts w:hint="eastAsia" w:asciiTheme="minorEastAsia" w:hAnsiTheme="minorEastAsia" w:eastAsiaTheme="minorEastAsia" w:cstheme="minorEastAsia"/>
                <w:sz w:val="21"/>
                <w:szCs w:val="21"/>
                <w:lang w:eastAsia="zh-CN"/>
              </w:rPr>
              <w:t>体系</w:t>
            </w:r>
          </w:p>
          <w:p>
            <w:pPr>
              <w:spacing w:line="360" w:lineRule="auto"/>
              <w:ind w:left="8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第二节  布雷顿森林体系</w:t>
            </w:r>
          </w:p>
          <w:p>
            <w:pPr>
              <w:spacing w:line="360" w:lineRule="auto"/>
              <w:ind w:left="8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第三节  </w:t>
            </w:r>
            <w:r>
              <w:rPr>
                <w:rFonts w:hint="eastAsia" w:asciiTheme="minorEastAsia" w:hAnsiTheme="minorEastAsia" w:eastAsiaTheme="minorEastAsia" w:cstheme="minorEastAsia"/>
                <w:sz w:val="21"/>
                <w:szCs w:val="21"/>
                <w:lang w:eastAsia="zh-CN"/>
              </w:rPr>
              <w:t>汇率制度</w:t>
            </w:r>
          </w:p>
          <w:p>
            <w:pPr>
              <w:spacing w:line="360" w:lineRule="auto"/>
              <w:ind w:left="8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第四节  国际货币体系及其改革</w:t>
            </w:r>
          </w:p>
          <w:p>
            <w:pPr>
              <w:spacing w:line="360" w:lineRule="auto"/>
              <w:ind w:left="8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第五节  人民币汇率改革</w:t>
            </w:r>
          </w:p>
          <w:p>
            <w:pPr>
              <w:spacing w:line="360" w:lineRule="auto"/>
              <w:ind w:left="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第二章 外汇市场、外汇业务与风险</w:t>
            </w:r>
          </w:p>
          <w:p>
            <w:pPr>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第一节  外汇市场与外汇业务</w:t>
            </w:r>
          </w:p>
          <w:p>
            <w:pPr>
              <w:spacing w:line="360" w:lineRule="auto"/>
              <w:ind w:left="30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第二节  汇率</w:t>
            </w:r>
            <w:r>
              <w:rPr>
                <w:rFonts w:hint="eastAsia" w:asciiTheme="minorEastAsia" w:hAnsiTheme="minorEastAsia" w:eastAsiaTheme="minorEastAsia" w:cstheme="minorEastAsia"/>
                <w:sz w:val="21"/>
                <w:szCs w:val="21"/>
                <w:lang w:eastAsia="zh-CN"/>
              </w:rPr>
              <w:t>的类型及其</w:t>
            </w:r>
            <w:r>
              <w:rPr>
                <w:rFonts w:hint="eastAsia" w:asciiTheme="minorEastAsia" w:hAnsiTheme="minorEastAsia" w:eastAsiaTheme="minorEastAsia" w:cstheme="minorEastAsia"/>
                <w:sz w:val="21"/>
                <w:szCs w:val="21"/>
              </w:rPr>
              <w:t>决定</w:t>
            </w:r>
            <w:r>
              <w:rPr>
                <w:rFonts w:hint="eastAsia" w:asciiTheme="minorEastAsia" w:hAnsiTheme="minorEastAsia" w:eastAsiaTheme="minorEastAsia" w:cstheme="minorEastAsia"/>
                <w:sz w:val="21"/>
                <w:szCs w:val="21"/>
                <w:lang w:eastAsia="zh-CN"/>
              </w:rPr>
              <w:t>理论</w:t>
            </w:r>
          </w:p>
          <w:p>
            <w:pPr>
              <w:spacing w:line="360" w:lineRule="auto"/>
              <w:ind w:left="300"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第三节  外汇风险</w:t>
            </w:r>
            <w:r>
              <w:rPr>
                <w:rFonts w:hint="eastAsia" w:asciiTheme="minorEastAsia" w:hAnsiTheme="minorEastAsia" w:eastAsiaTheme="minorEastAsia" w:cstheme="minorEastAsia"/>
                <w:sz w:val="21"/>
                <w:szCs w:val="21"/>
                <w:lang w:eastAsia="zh-CN"/>
              </w:rPr>
              <w:t>及其管理</w:t>
            </w:r>
          </w:p>
          <w:p>
            <w:pPr>
              <w:spacing w:line="360" w:lineRule="auto"/>
              <w:ind w:left="36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第三章 国际</w:t>
            </w:r>
            <w:r>
              <w:rPr>
                <w:rFonts w:hint="eastAsia" w:asciiTheme="minorEastAsia" w:hAnsiTheme="minorEastAsia" w:eastAsiaTheme="minorEastAsia" w:cstheme="minorEastAsia"/>
                <w:sz w:val="21"/>
                <w:szCs w:val="21"/>
                <w:lang w:eastAsia="zh-CN"/>
              </w:rPr>
              <w:t>收支与调节理论</w:t>
            </w:r>
          </w:p>
          <w:p>
            <w:pPr>
              <w:spacing w:line="360" w:lineRule="auto"/>
              <w:ind w:left="420" w:firstLine="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第一节  </w:t>
            </w:r>
            <w:r>
              <w:rPr>
                <w:rFonts w:hint="eastAsia" w:asciiTheme="minorEastAsia" w:hAnsiTheme="minorEastAsia" w:eastAsiaTheme="minorEastAsia" w:cstheme="minorEastAsia"/>
                <w:sz w:val="21"/>
                <w:szCs w:val="21"/>
                <w:lang w:eastAsia="zh-CN"/>
              </w:rPr>
              <w:t>国际收支与国际收支平衡表</w:t>
            </w:r>
          </w:p>
          <w:p>
            <w:pPr>
              <w:tabs>
                <w:tab w:val="left" w:pos="720"/>
              </w:tabs>
              <w:spacing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第二节  </w:t>
            </w:r>
            <w:r>
              <w:rPr>
                <w:rFonts w:hint="eastAsia" w:asciiTheme="minorEastAsia" w:hAnsiTheme="minorEastAsia" w:eastAsiaTheme="minorEastAsia" w:cstheme="minorEastAsia"/>
                <w:sz w:val="21"/>
                <w:szCs w:val="21"/>
                <w:lang w:eastAsia="zh-CN"/>
              </w:rPr>
              <w:t>国际收支调节及其理论</w:t>
            </w:r>
          </w:p>
          <w:p>
            <w:pPr>
              <w:tabs>
                <w:tab w:val="left" w:pos="720"/>
              </w:tabs>
              <w:spacing w:line="360" w:lineRule="auto"/>
              <w:ind w:left="7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第三节  </w:t>
            </w:r>
            <w:r>
              <w:rPr>
                <w:rFonts w:hint="eastAsia" w:asciiTheme="minorEastAsia" w:hAnsiTheme="minorEastAsia" w:eastAsiaTheme="minorEastAsia" w:cstheme="minorEastAsia"/>
                <w:sz w:val="21"/>
                <w:szCs w:val="21"/>
                <w:lang w:eastAsia="zh-CN"/>
              </w:rPr>
              <w:t>中国的国际收支</w:t>
            </w:r>
          </w:p>
          <w:p>
            <w:pPr>
              <w:spacing w:line="360" w:lineRule="auto"/>
              <w:ind w:left="36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第四章 国际金融</w:t>
            </w:r>
            <w:r>
              <w:rPr>
                <w:rFonts w:hint="eastAsia" w:asciiTheme="minorEastAsia" w:hAnsiTheme="minorEastAsia" w:eastAsiaTheme="minorEastAsia" w:cstheme="minorEastAsia"/>
                <w:sz w:val="21"/>
                <w:szCs w:val="21"/>
                <w:lang w:eastAsia="zh-CN"/>
              </w:rPr>
              <w:t>市场</w:t>
            </w:r>
          </w:p>
          <w:p>
            <w:pPr>
              <w:tabs>
                <w:tab w:val="left" w:pos="1620"/>
              </w:tabs>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第一节  国际金融市场概述</w:t>
            </w:r>
          </w:p>
          <w:p>
            <w:pPr>
              <w:tabs>
                <w:tab w:val="left" w:pos="720"/>
              </w:tabs>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第二节  货币市场</w:t>
            </w:r>
          </w:p>
          <w:p>
            <w:pPr>
              <w:tabs>
                <w:tab w:val="left" w:pos="720"/>
              </w:tabs>
              <w:spacing w:line="360" w:lineRule="auto"/>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第三节</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债券市场</w:t>
            </w:r>
          </w:p>
          <w:p>
            <w:pPr>
              <w:tabs>
                <w:tab w:val="left" w:pos="1620"/>
              </w:tabs>
              <w:spacing w:line="360" w:lineRule="auto"/>
              <w:ind w:left="7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第</w:t>
            </w:r>
            <w:r>
              <w:rPr>
                <w:rFonts w:hint="eastAsia" w:asciiTheme="minorEastAsia" w:hAnsiTheme="minorEastAsia" w:eastAsiaTheme="minorEastAsia" w:cstheme="minorEastAsia"/>
                <w:sz w:val="21"/>
                <w:szCs w:val="21"/>
                <w:lang w:eastAsia="zh-CN"/>
              </w:rPr>
              <w:t>四</w:t>
            </w:r>
            <w:r>
              <w:rPr>
                <w:rFonts w:hint="eastAsia" w:asciiTheme="minorEastAsia" w:hAnsiTheme="minorEastAsia" w:eastAsiaTheme="minorEastAsia" w:cstheme="minorEastAsia"/>
                <w:sz w:val="21"/>
                <w:szCs w:val="21"/>
              </w:rPr>
              <w:t>节  国际金融</w:t>
            </w:r>
            <w:r>
              <w:rPr>
                <w:rFonts w:hint="eastAsia" w:asciiTheme="minorEastAsia" w:hAnsiTheme="minorEastAsia" w:eastAsiaTheme="minorEastAsia" w:cstheme="minorEastAsia"/>
                <w:sz w:val="21"/>
                <w:szCs w:val="21"/>
                <w:lang w:eastAsia="zh-CN"/>
              </w:rPr>
              <w:t>市场的风险防范</w:t>
            </w:r>
          </w:p>
          <w:p>
            <w:pPr>
              <w:tabs>
                <w:tab w:val="left" w:pos="1620"/>
              </w:tabs>
              <w:spacing w:line="360" w:lineRule="auto"/>
              <w:ind w:left="7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第五节</w:t>
            </w:r>
            <w:r>
              <w:rPr>
                <w:rFonts w:hint="eastAsia" w:asciiTheme="minorEastAsia" w:hAnsiTheme="minorEastAsia" w:eastAsiaTheme="minorEastAsia" w:cstheme="minorEastAsia"/>
                <w:sz w:val="21"/>
                <w:szCs w:val="21"/>
                <w:lang w:val="en-US" w:eastAsia="zh-CN"/>
              </w:rPr>
              <w:t xml:space="preserve">  国际金融市场</w:t>
            </w:r>
            <w:r>
              <w:rPr>
                <w:rFonts w:hint="eastAsia" w:asciiTheme="minorEastAsia" w:hAnsiTheme="minorEastAsia" w:eastAsiaTheme="minorEastAsia" w:cstheme="minorEastAsia"/>
                <w:sz w:val="21"/>
                <w:szCs w:val="21"/>
              </w:rPr>
              <w:t>创新</w:t>
            </w: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第四部分   国际商务环境与运营</w:t>
            </w:r>
          </w:p>
          <w:p>
            <w:pPr>
              <w:tabs>
                <w:tab w:val="left" w:pos="1260"/>
              </w:tabs>
              <w:spacing w:line="360" w:lineRule="auto"/>
              <w:ind w:left="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第一章 国际商务环境</w:t>
            </w:r>
          </w:p>
          <w:p>
            <w:pPr>
              <w:numPr>
                <w:ilvl w:val="1"/>
                <w:numId w:val="2"/>
              </w:numPr>
              <w:tabs>
                <w:tab w:val="left" w:pos="1800"/>
                <w:tab w:val="clear" w:pos="1560"/>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国际商务文化环境</w:t>
            </w:r>
          </w:p>
          <w:p>
            <w:pPr>
              <w:numPr>
                <w:ilvl w:val="1"/>
                <w:numId w:val="2"/>
              </w:numPr>
              <w:tabs>
                <w:tab w:val="left" w:pos="1800"/>
                <w:tab w:val="clear" w:pos="1560"/>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政治、法律和商业伦理</w:t>
            </w:r>
          </w:p>
          <w:p>
            <w:pPr>
              <w:tabs>
                <w:tab w:val="left" w:pos="1260"/>
              </w:tabs>
              <w:spacing w:line="360" w:lineRule="auto"/>
              <w:ind w:left="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第二章 国际营销</w:t>
            </w:r>
          </w:p>
          <w:p>
            <w:pPr>
              <w:numPr>
                <w:ilvl w:val="1"/>
                <w:numId w:val="5"/>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目标市场选择</w:t>
            </w:r>
          </w:p>
          <w:p>
            <w:pPr>
              <w:numPr>
                <w:ilvl w:val="1"/>
                <w:numId w:val="5"/>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营销管理</w:t>
            </w:r>
          </w:p>
          <w:p>
            <w:pPr>
              <w:tabs>
                <w:tab w:val="left" w:pos="1260"/>
              </w:tabs>
              <w:spacing w:line="360" w:lineRule="auto"/>
              <w:ind w:left="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第三章 国际物流</w:t>
            </w:r>
            <w:bookmarkStart w:id="0" w:name="_GoBack"/>
            <w:bookmarkEnd w:id="0"/>
            <w:r>
              <w:rPr>
                <w:rFonts w:hint="eastAsia" w:asciiTheme="minorEastAsia" w:hAnsiTheme="minorEastAsia" w:eastAsiaTheme="minorEastAsia" w:cstheme="minorEastAsia"/>
                <w:sz w:val="21"/>
                <w:szCs w:val="21"/>
              </w:rPr>
              <w:t>与供应链管理</w:t>
            </w:r>
          </w:p>
          <w:p>
            <w:pPr>
              <w:spacing w:line="360" w:lineRule="auto"/>
              <w:ind w:left="8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第一节  国际物流定义与问题</w:t>
            </w:r>
          </w:p>
          <w:p>
            <w:pPr>
              <w:spacing w:line="360" w:lineRule="auto"/>
              <w:ind w:left="8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第二节  国际物流与供应链管理</w:t>
            </w:r>
          </w:p>
          <w:p>
            <w:pPr>
              <w:tabs>
                <w:tab w:val="left" w:pos="1260"/>
              </w:tabs>
              <w:spacing w:line="360" w:lineRule="auto"/>
              <w:ind w:left="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第四章 国际会计与税收</w:t>
            </w:r>
          </w:p>
          <w:p>
            <w:pPr>
              <w:spacing w:line="360" w:lineRule="auto"/>
              <w:ind w:left="8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第一节  跨国间主要会计差异</w:t>
            </w:r>
          </w:p>
          <w:p>
            <w:pPr>
              <w:spacing w:line="360" w:lineRule="auto"/>
              <w:ind w:left="840"/>
            </w:pPr>
            <w:r>
              <w:rPr>
                <w:rFonts w:hint="eastAsia" w:asciiTheme="minorEastAsia" w:hAnsiTheme="minorEastAsia" w:eastAsiaTheme="minorEastAsia" w:cstheme="minorEastAsia"/>
                <w:sz w:val="21"/>
                <w:szCs w:val="21"/>
              </w:rPr>
              <w:t>第二节  国际税收</w:t>
            </w:r>
          </w:p>
        </w:tc>
      </w:tr>
      <w:tr>
        <w:tblPrEx>
          <w:tblLayout w:type="fixed"/>
          <w:tblCellMar>
            <w:top w:w="0" w:type="dxa"/>
            <w:left w:w="0" w:type="dxa"/>
            <w:bottom w:w="0" w:type="dxa"/>
            <w:right w:w="0" w:type="dxa"/>
          </w:tblCellMar>
        </w:tblPrEx>
        <w:trPr>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widowControl/>
              <w:spacing w:before="100" w:beforeAutospacing="1" w:after="100" w:afterAutospacing="1"/>
              <w:jc w:val="left"/>
              <w:rPr>
                <w:rFonts w:ascii="Verdana" w:hAnsi="Verdana" w:cs="宋体"/>
                <w:b/>
                <w:bCs/>
                <w:kern w:val="0"/>
                <w:sz w:val="18"/>
              </w:rPr>
            </w:pPr>
            <w:r>
              <w:rPr>
                <w:rFonts w:hint="eastAsia" w:ascii="Verdana" w:hAnsi="Verdana" w:cs="宋体"/>
                <w:b/>
                <w:bCs/>
                <w:kern w:val="0"/>
                <w:sz w:val="18"/>
              </w:rPr>
              <w:t>主要参考书目</w:t>
            </w:r>
          </w:p>
          <w:p>
            <w:pPr>
              <w:widowControl/>
              <w:spacing w:before="100" w:beforeAutospacing="1" w:after="100" w:afterAutospacing="1"/>
              <w:jc w:val="left"/>
              <w:rPr>
                <w:rFonts w:ascii="仿宋_GB2312" w:hAnsi="Verdana" w:eastAsia="仿宋_GB2312"/>
                <w:sz w:val="24"/>
              </w:rPr>
            </w:pPr>
            <w:r>
              <w:rPr>
                <w:rFonts w:hint="eastAsia" w:ascii="ˎ̥" w:hAnsi="ˎ̥"/>
                <w:color w:val="333333"/>
                <w:szCs w:val="21"/>
              </w:rPr>
              <w:t>1.</w:t>
            </w:r>
            <w:r>
              <w:rPr>
                <w:rFonts w:hint="eastAsia" w:ascii="宋体"/>
                <w:szCs w:val="21"/>
              </w:rPr>
              <w:t>王炜瀚、王健、梁蓓，《国际商务》（第二版），机械工业出版社，2015年</w:t>
            </w:r>
          </w:p>
        </w:tc>
      </w:tr>
    </w:tbl>
    <w:p/>
    <w:sectPr>
      <w:pgSz w:w="11906" w:h="16838"/>
      <w:pgMar w:top="1157" w:right="1080" w:bottom="1157"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Bodoni MT Black">
    <w:panose1 w:val="02070A03080606020203"/>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89DD7"/>
    <w:multiLevelType w:val="singleLevel"/>
    <w:tmpl w:val="8E689DD7"/>
    <w:lvl w:ilvl="0" w:tentative="0">
      <w:start w:val="2"/>
      <w:numFmt w:val="decimal"/>
      <w:lvlText w:val="%1."/>
      <w:lvlJc w:val="left"/>
      <w:pPr>
        <w:tabs>
          <w:tab w:val="left" w:pos="312"/>
        </w:tabs>
      </w:pPr>
    </w:lvl>
  </w:abstractNum>
  <w:abstractNum w:abstractNumId="1">
    <w:nsid w:val="1DFB704F"/>
    <w:multiLevelType w:val="multilevel"/>
    <w:tmpl w:val="1DFB704F"/>
    <w:lvl w:ilvl="0" w:tentative="0">
      <w:start w:val="1"/>
      <w:numFmt w:val="japaneseCounting"/>
      <w:lvlText w:val="第%1节"/>
      <w:lvlJc w:val="left"/>
      <w:pPr>
        <w:tabs>
          <w:tab w:val="left" w:pos="1830"/>
        </w:tabs>
        <w:ind w:left="1830" w:hanging="99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26AA7802"/>
    <w:multiLevelType w:val="multilevel"/>
    <w:tmpl w:val="26AA7802"/>
    <w:lvl w:ilvl="0" w:tentative="0">
      <w:start w:val="1"/>
      <w:numFmt w:val="japaneseCounting"/>
      <w:lvlText w:val="第%1节"/>
      <w:lvlJc w:val="left"/>
      <w:pPr>
        <w:tabs>
          <w:tab w:val="left" w:pos="1890"/>
        </w:tabs>
        <w:ind w:left="1890" w:hanging="990"/>
      </w:pPr>
      <w:rPr>
        <w:rFonts w:hint="default"/>
      </w:r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3">
    <w:nsid w:val="26AF4D67"/>
    <w:multiLevelType w:val="multilevel"/>
    <w:tmpl w:val="26AF4D67"/>
    <w:lvl w:ilvl="0" w:tentative="0">
      <w:start w:val="1"/>
      <w:numFmt w:val="japaneseCounting"/>
      <w:lvlText w:val="第%1节"/>
      <w:lvlJc w:val="left"/>
      <w:pPr>
        <w:tabs>
          <w:tab w:val="left" w:pos="1830"/>
        </w:tabs>
        <w:ind w:left="1830" w:hanging="990"/>
      </w:pPr>
      <w:rPr>
        <w:rFonts w:hint="default"/>
        <w:lang w:val="en-US"/>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2B407D5B"/>
    <w:multiLevelType w:val="multilevel"/>
    <w:tmpl w:val="2B407D5B"/>
    <w:lvl w:ilvl="0" w:tentative="0">
      <w:start w:val="1"/>
      <w:numFmt w:val="japaneseCounting"/>
      <w:lvlText w:val="第%1章"/>
      <w:lvlJc w:val="left"/>
      <w:pPr>
        <w:tabs>
          <w:tab w:val="left" w:pos="990"/>
        </w:tabs>
        <w:ind w:left="990" w:hanging="990"/>
      </w:pPr>
      <w:rPr>
        <w:rFonts w:hint="default"/>
      </w:rPr>
    </w:lvl>
    <w:lvl w:ilvl="1" w:tentative="0">
      <w:start w:val="1"/>
      <w:numFmt w:val="japaneseCounting"/>
      <w:lvlText w:val="第%2节"/>
      <w:lvlJc w:val="left"/>
      <w:pPr>
        <w:tabs>
          <w:tab w:val="left" w:pos="1560"/>
        </w:tabs>
        <w:ind w:left="1560" w:hanging="7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EB35081"/>
    <w:multiLevelType w:val="multilevel"/>
    <w:tmpl w:val="2EB35081"/>
    <w:lvl w:ilvl="0" w:tentative="0">
      <w:start w:val="1"/>
      <w:numFmt w:val="japaneseCounting"/>
      <w:lvlText w:val="第%1节"/>
      <w:lvlJc w:val="left"/>
      <w:pPr>
        <w:tabs>
          <w:tab w:val="left" w:pos="1830"/>
        </w:tabs>
        <w:ind w:left="1830" w:hanging="99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3EC5473C"/>
    <w:multiLevelType w:val="multilevel"/>
    <w:tmpl w:val="3EC5473C"/>
    <w:lvl w:ilvl="0" w:tentative="0">
      <w:start w:val="1"/>
      <w:numFmt w:val="japaneseCounting"/>
      <w:lvlText w:val="第%1章"/>
      <w:lvlJc w:val="left"/>
      <w:pPr>
        <w:tabs>
          <w:tab w:val="left" w:pos="1410"/>
        </w:tabs>
        <w:ind w:left="1410" w:hanging="990"/>
      </w:pPr>
      <w:rPr>
        <w:rFonts w:hint="default"/>
      </w:rPr>
    </w:lvl>
    <w:lvl w:ilvl="1" w:tentative="0">
      <w:start w:val="1"/>
      <w:numFmt w:val="japaneseCounting"/>
      <w:lvlText w:val="第%2节"/>
      <w:lvlJc w:val="left"/>
      <w:pPr>
        <w:tabs>
          <w:tab w:val="left" w:pos="1560"/>
        </w:tabs>
        <w:ind w:left="1560" w:hanging="7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4E15462B"/>
    <w:multiLevelType w:val="multilevel"/>
    <w:tmpl w:val="4E15462B"/>
    <w:lvl w:ilvl="0" w:tentative="0">
      <w:start w:val="1"/>
      <w:numFmt w:val="japaneseCounting"/>
      <w:lvlText w:val="第%1节"/>
      <w:lvlJc w:val="left"/>
      <w:pPr>
        <w:tabs>
          <w:tab w:val="left" w:pos="1830"/>
        </w:tabs>
        <w:ind w:left="1830" w:hanging="99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0D"/>
    <w:rsid w:val="000B3569"/>
    <w:rsid w:val="0015607C"/>
    <w:rsid w:val="001650EF"/>
    <w:rsid w:val="00285524"/>
    <w:rsid w:val="002D1503"/>
    <w:rsid w:val="002D2B70"/>
    <w:rsid w:val="003060C2"/>
    <w:rsid w:val="00337208"/>
    <w:rsid w:val="00346508"/>
    <w:rsid w:val="0044763B"/>
    <w:rsid w:val="004A193D"/>
    <w:rsid w:val="0056218A"/>
    <w:rsid w:val="005752DE"/>
    <w:rsid w:val="0059321D"/>
    <w:rsid w:val="005F3999"/>
    <w:rsid w:val="006110E9"/>
    <w:rsid w:val="00703881"/>
    <w:rsid w:val="0077700D"/>
    <w:rsid w:val="007A52A6"/>
    <w:rsid w:val="008C254F"/>
    <w:rsid w:val="008C2B0C"/>
    <w:rsid w:val="008D2956"/>
    <w:rsid w:val="009069A5"/>
    <w:rsid w:val="0095788B"/>
    <w:rsid w:val="00970AC6"/>
    <w:rsid w:val="009E4709"/>
    <w:rsid w:val="00AC3B41"/>
    <w:rsid w:val="00AD3929"/>
    <w:rsid w:val="00AE09D5"/>
    <w:rsid w:val="00B6636A"/>
    <w:rsid w:val="00BE62B2"/>
    <w:rsid w:val="00CE44A4"/>
    <w:rsid w:val="00D01466"/>
    <w:rsid w:val="00D525FF"/>
    <w:rsid w:val="00DE2F5A"/>
    <w:rsid w:val="00FC5B4C"/>
    <w:rsid w:val="0ADA05B9"/>
    <w:rsid w:val="0CEF645D"/>
    <w:rsid w:val="0E881D98"/>
    <w:rsid w:val="1B61540F"/>
    <w:rsid w:val="2E471037"/>
    <w:rsid w:val="341F5569"/>
    <w:rsid w:val="37FE5208"/>
    <w:rsid w:val="3D8E057C"/>
    <w:rsid w:val="406F442E"/>
    <w:rsid w:val="4971066C"/>
    <w:rsid w:val="4C8461E8"/>
    <w:rsid w:val="5A590706"/>
    <w:rsid w:val="5BFE3667"/>
    <w:rsid w:val="5CF83EF2"/>
    <w:rsid w:val="5F4E4AEF"/>
    <w:rsid w:val="66302008"/>
    <w:rsid w:val="6A1D6BC4"/>
    <w:rsid w:val="7E9F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Words>
  <Characters>1203</Characters>
  <Lines>10</Lines>
  <Paragraphs>2</Paragraphs>
  <TotalTime>7</TotalTime>
  <ScaleCrop>false</ScaleCrop>
  <LinksUpToDate>false</LinksUpToDate>
  <CharactersWithSpaces>1411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2017-09-30T16:15:00Z</dcterms:created>
  <dc:creator>lenovo</dc:creator>
  <cp:lastModifiedBy>Administrator</cp:lastModifiedBy>
  <cp:lastPrinted>2020-09-23T11:47:07Z</cp:lastPrinted>
  <dcterms:modified xsi:type="dcterms:W3CDTF">2020-09-23T11:48:36Z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