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360" w:lineRule="auto"/>
        <w:jc w:val="center"/>
        <w:rPr>
          <w:rFonts w:hint="eastAsia" w:ascii="黑体" w:eastAsia="黑体"/>
          <w:bCs/>
          <w:sz w:val="30"/>
          <w:szCs w:val="30"/>
          <w:lang w:val="en-US" w:eastAsia="zh-CN"/>
        </w:rPr>
      </w:pPr>
      <w:bookmarkStart w:id="0" w:name="_GoBack"/>
      <w:bookmarkEnd w:id="0"/>
      <w:r>
        <w:rPr>
          <w:rFonts w:hint="eastAsia" w:ascii="黑体" w:eastAsia="黑体"/>
          <w:bCs/>
          <w:sz w:val="30"/>
          <w:szCs w:val="30"/>
          <w:lang w:val="en-US" w:eastAsia="zh-CN"/>
        </w:rPr>
        <w:t>山东建筑大学</w:t>
      </w:r>
    </w:p>
    <w:p>
      <w:pPr>
        <w:spacing w:before="100" w:beforeAutospacing="1" w:after="100" w:afterAutospacing="1" w:line="360" w:lineRule="auto"/>
        <w:jc w:val="center"/>
        <w:rPr>
          <w:rFonts w:hint="eastAsia" w:ascii="黑体" w:eastAsia="黑体"/>
          <w:bCs/>
          <w:sz w:val="30"/>
          <w:szCs w:val="30"/>
        </w:rPr>
      </w:pPr>
      <w:r>
        <w:rPr>
          <w:rFonts w:hint="eastAsia" w:ascii="黑体" w:eastAsia="黑体"/>
          <w:bCs/>
          <w:sz w:val="30"/>
          <w:szCs w:val="30"/>
          <w:lang w:val="en-US" w:eastAsia="zh-CN"/>
        </w:rPr>
        <w:t>研究生入学考试</w:t>
      </w:r>
      <w:r>
        <w:rPr>
          <w:rFonts w:hint="eastAsia" w:ascii="黑体" w:eastAsia="黑体"/>
          <w:bCs/>
          <w:sz w:val="30"/>
          <w:szCs w:val="30"/>
        </w:rPr>
        <w:t>《环境监测》复试大纲</w:t>
      </w:r>
    </w:p>
    <w:p>
      <w:pPr>
        <w:spacing w:before="100" w:beforeAutospacing="1" w:after="100" w:afterAutospacing="1" w:line="360" w:lineRule="auto"/>
        <w:rPr>
          <w:b/>
          <w:sz w:val="24"/>
        </w:rPr>
      </w:pPr>
      <w:r>
        <w:rPr>
          <w:b/>
          <w:sz w:val="24"/>
        </w:rPr>
        <w:t>一、</w:t>
      </w:r>
      <w:r>
        <w:rPr>
          <w:rFonts w:hint="eastAsia"/>
          <w:b/>
          <w:sz w:val="24"/>
        </w:rPr>
        <w:t>考试大纲</w:t>
      </w:r>
      <w:r>
        <w:rPr>
          <w:b/>
          <w:sz w:val="24"/>
        </w:rPr>
        <w:t>性质</w:t>
      </w:r>
    </w:p>
    <w:p>
      <w:pPr>
        <w:pStyle w:val="2"/>
        <w:spacing w:before="100" w:beforeAutospacing="1" w:after="100" w:afterAutospacing="1" w:line="360" w:lineRule="auto"/>
        <w:ind w:left="0" w:leftChars="0" w:firstLine="480" w:firstLineChars="200"/>
        <w:rPr>
          <w:rFonts w:hint="eastAsia"/>
          <w:sz w:val="24"/>
        </w:rPr>
      </w:pPr>
      <w:r>
        <w:rPr>
          <w:rFonts w:hint="eastAsia"/>
          <w:sz w:val="24"/>
        </w:rPr>
        <w:t>《环境监测》</w:t>
      </w:r>
      <w:r>
        <w:rPr>
          <w:rFonts w:hint="eastAsia"/>
          <w:color w:val="000000"/>
          <w:sz w:val="24"/>
        </w:rPr>
        <w:t>是高等学校环境科学、环境工程专业本科生的核心专业课之一，也是</w:t>
      </w:r>
      <w:r>
        <w:rPr>
          <w:rFonts w:hint="eastAsia"/>
          <w:sz w:val="24"/>
        </w:rPr>
        <w:t>是山东建筑大学环境科学和环境工程专业的专业必修课之一，是</w:t>
      </w:r>
      <w:r>
        <w:rPr>
          <w:sz w:val="24"/>
        </w:rPr>
        <w:t>通过对影响环境质量因素的代表值的测定，确定环境质量及其变化趋势的一门科学，是</w:t>
      </w:r>
      <w:r>
        <w:rPr>
          <w:rFonts w:hint="eastAsia"/>
          <w:sz w:val="24"/>
        </w:rPr>
        <w:t>从事环境污染控制理论与技术</w:t>
      </w:r>
      <w:r>
        <w:rPr>
          <w:sz w:val="24"/>
        </w:rPr>
        <w:t>研究</w:t>
      </w:r>
      <w:r>
        <w:rPr>
          <w:rFonts w:hint="eastAsia"/>
          <w:sz w:val="24"/>
        </w:rPr>
        <w:t>、环境规划与管理、环境影响评价等工作的</w:t>
      </w:r>
      <w:r>
        <w:rPr>
          <w:sz w:val="24"/>
        </w:rPr>
        <w:t>必需基础。为了帮助考生明确复习范围和报考的有关要求，特制定本考试大纲。</w:t>
      </w:r>
    </w:p>
    <w:p>
      <w:pPr>
        <w:pStyle w:val="2"/>
        <w:spacing w:before="100" w:beforeAutospacing="1" w:after="100" w:afterAutospacing="1" w:line="360" w:lineRule="auto"/>
        <w:ind w:left="0" w:leftChars="0" w:firstLine="480" w:firstLineChars="200"/>
        <w:rPr>
          <w:rFonts w:hint="eastAsia"/>
          <w:sz w:val="24"/>
        </w:rPr>
      </w:pPr>
      <w:r>
        <w:rPr>
          <w:sz w:val="24"/>
        </w:rPr>
        <w:t>本</w:t>
      </w:r>
      <w:r>
        <w:rPr>
          <w:rFonts w:hint="eastAsia"/>
          <w:sz w:val="24"/>
        </w:rPr>
        <w:t>考试大纲</w:t>
      </w:r>
      <w:r>
        <w:rPr>
          <w:sz w:val="24"/>
        </w:rPr>
        <w:t>适用于报考</w:t>
      </w:r>
      <w:r>
        <w:rPr>
          <w:rFonts w:hint="eastAsia"/>
          <w:sz w:val="24"/>
        </w:rPr>
        <w:t>山东建筑大学市政与环境工程学院环境科学、环境工程专业</w:t>
      </w:r>
      <w:r>
        <w:rPr>
          <w:sz w:val="24"/>
        </w:rPr>
        <w:t>的硕士研究生</w:t>
      </w:r>
      <w:r>
        <w:rPr>
          <w:rFonts w:hint="eastAsia"/>
          <w:sz w:val="24"/>
        </w:rPr>
        <w:t>同等学力</w:t>
      </w:r>
      <w:r>
        <w:rPr>
          <w:sz w:val="24"/>
        </w:rPr>
        <w:t>考生。</w:t>
      </w:r>
    </w:p>
    <w:p>
      <w:pPr>
        <w:spacing w:before="100" w:beforeAutospacing="1" w:after="100" w:afterAutospacing="1" w:line="360" w:lineRule="auto"/>
        <w:rPr>
          <w:rFonts w:hint="eastAsia"/>
          <w:b/>
          <w:sz w:val="24"/>
        </w:rPr>
      </w:pPr>
      <w:r>
        <w:rPr>
          <w:b/>
          <w:sz w:val="24"/>
        </w:rPr>
        <w:t>二、</w:t>
      </w:r>
      <w:r>
        <w:rPr>
          <w:rFonts w:hint="eastAsia"/>
          <w:b/>
          <w:sz w:val="24"/>
        </w:rPr>
        <w:t>考试内容及要求</w:t>
      </w:r>
    </w:p>
    <w:p>
      <w:pPr>
        <w:tabs>
          <w:tab w:val="left" w:pos="1647"/>
        </w:tabs>
        <w:adjustRightInd w:val="0"/>
        <w:snapToGrid w:val="0"/>
        <w:spacing w:line="360" w:lineRule="auto"/>
        <w:ind w:firstLine="480" w:firstLineChars="200"/>
        <w:rPr>
          <w:sz w:val="24"/>
        </w:rPr>
      </w:pPr>
      <w:r>
        <w:rPr>
          <w:rFonts w:hint="eastAsia"/>
          <w:sz w:val="24"/>
        </w:rPr>
        <w:t>1．绪论</w:t>
      </w:r>
    </w:p>
    <w:p>
      <w:pPr>
        <w:tabs>
          <w:tab w:val="left" w:pos="1647"/>
        </w:tabs>
        <w:adjustRightInd w:val="0"/>
        <w:snapToGrid w:val="0"/>
        <w:spacing w:line="360" w:lineRule="auto"/>
        <w:ind w:firstLine="480" w:firstLineChars="200"/>
        <w:rPr>
          <w:sz w:val="24"/>
        </w:rPr>
      </w:pPr>
      <w:r>
        <w:rPr>
          <w:rFonts w:hint="eastAsia"/>
          <w:sz w:val="24"/>
        </w:rPr>
        <w:t>了解环境监测的定义、目的、发展及特点，熟悉环境监测的分类；掌握环境标准的作用、分类、制定原则和我国环境标准体系的构成；了解未列入标准的物质最高允许浓度的估算方法。</w:t>
      </w:r>
    </w:p>
    <w:p>
      <w:pPr>
        <w:tabs>
          <w:tab w:val="left" w:pos="1647"/>
        </w:tabs>
        <w:adjustRightInd w:val="0"/>
        <w:snapToGrid w:val="0"/>
        <w:spacing w:line="360" w:lineRule="auto"/>
        <w:ind w:firstLine="480" w:firstLineChars="200"/>
        <w:rPr>
          <w:sz w:val="24"/>
        </w:rPr>
      </w:pPr>
      <w:r>
        <w:rPr>
          <w:rFonts w:hint="eastAsia"/>
          <w:sz w:val="24"/>
        </w:rPr>
        <w:t>2．水和废水监测</w:t>
      </w:r>
    </w:p>
    <w:p>
      <w:pPr>
        <w:tabs>
          <w:tab w:val="left" w:pos="1647"/>
        </w:tabs>
        <w:adjustRightInd w:val="0"/>
        <w:snapToGrid w:val="0"/>
        <w:spacing w:line="360" w:lineRule="auto"/>
        <w:ind w:firstLine="480" w:firstLineChars="200"/>
        <w:rPr>
          <w:sz w:val="24"/>
        </w:rPr>
      </w:pPr>
      <w:r>
        <w:rPr>
          <w:rFonts w:hint="eastAsia"/>
          <w:sz w:val="24"/>
        </w:rPr>
        <w:t>熟悉水体监测的对象、不同水体的监测项目的选择及测定方法；掌握水体监测方案的制定、水样的采集及保存技术；掌握水样的预处理方法及应用；掌握水体物理性指标、化学性指标及生物性指标的测定方法；熟悉底质监测的样品采集、制备、污染物质的测定等；了解水环境自动监测和简易监测技术。</w:t>
      </w:r>
    </w:p>
    <w:p>
      <w:pPr>
        <w:tabs>
          <w:tab w:val="left" w:pos="1647"/>
        </w:tabs>
        <w:adjustRightInd w:val="0"/>
        <w:snapToGrid w:val="0"/>
        <w:spacing w:line="360" w:lineRule="auto"/>
        <w:ind w:firstLine="480" w:firstLineChars="200"/>
        <w:rPr>
          <w:sz w:val="24"/>
        </w:rPr>
      </w:pPr>
      <w:r>
        <w:rPr>
          <w:rFonts w:hint="eastAsia"/>
          <w:sz w:val="24"/>
        </w:rPr>
        <w:t>3．空气和废气监测</w:t>
      </w:r>
    </w:p>
    <w:p>
      <w:pPr>
        <w:tabs>
          <w:tab w:val="left" w:pos="1647"/>
        </w:tabs>
        <w:adjustRightInd w:val="0"/>
        <w:snapToGrid w:val="0"/>
        <w:spacing w:line="360" w:lineRule="auto"/>
        <w:ind w:firstLine="480" w:firstLineChars="200"/>
        <w:rPr>
          <w:sz w:val="24"/>
        </w:rPr>
      </w:pPr>
      <w:r>
        <w:rPr>
          <w:rFonts w:hint="eastAsia"/>
          <w:sz w:val="24"/>
        </w:rPr>
        <w:t>熟悉空气污染物的来源、分类及危害，掌握空气污染监测方案的制定、空气样品的采集方法和采样仪器，气态、蒸汽态和颗粒态污染物、硫酸盐化速率、总烃及非甲烷烃的测定方法原理，空气污染指数的意义及计算方法；熟悉室内空气污染的现状、主要污染物的来源与危害及防护方法，监测指标及其测定的原理；了解空气污染源监测的意义及方法；了解降水监测的意义及内容，熟悉空气环境自动监测项目及其监测原理，了解空气污染的简易监测技术；了解静态配气法和动态配气法等标准气体的配制方法。</w:t>
      </w:r>
    </w:p>
    <w:p>
      <w:pPr>
        <w:tabs>
          <w:tab w:val="left" w:pos="1647"/>
        </w:tabs>
        <w:adjustRightInd w:val="0"/>
        <w:snapToGrid w:val="0"/>
        <w:spacing w:line="360" w:lineRule="auto"/>
        <w:ind w:firstLine="480" w:firstLineChars="200"/>
        <w:rPr>
          <w:sz w:val="24"/>
        </w:rPr>
      </w:pPr>
      <w:r>
        <w:rPr>
          <w:rFonts w:hint="eastAsia"/>
          <w:sz w:val="24"/>
        </w:rPr>
        <w:t>4．固体废物监测</w:t>
      </w:r>
    </w:p>
    <w:p>
      <w:pPr>
        <w:tabs>
          <w:tab w:val="left" w:pos="1647"/>
        </w:tabs>
        <w:adjustRightInd w:val="0"/>
        <w:snapToGrid w:val="0"/>
        <w:spacing w:line="360" w:lineRule="auto"/>
        <w:ind w:firstLine="480" w:firstLineChars="200"/>
        <w:rPr>
          <w:sz w:val="24"/>
        </w:rPr>
      </w:pPr>
      <w:r>
        <w:rPr>
          <w:rFonts w:hint="eastAsia"/>
          <w:sz w:val="24"/>
        </w:rPr>
        <w:t>了解我国固体废物的产生与监测现状，掌握固体废物与危险废物的定义、分类及鉴别方法；掌握固体废物样品的采集、制备、保存及样品水分与pH值的测定方法；熟悉危险废物有害特性的监测方法；掌握生活垃圾的监测项目，有害物质的毒理学研究方法；了解卫生保健机构废物监测现状及方法。</w:t>
      </w:r>
    </w:p>
    <w:p>
      <w:pPr>
        <w:tabs>
          <w:tab w:val="left" w:pos="1647"/>
        </w:tabs>
        <w:adjustRightInd w:val="0"/>
        <w:snapToGrid w:val="0"/>
        <w:spacing w:line="360" w:lineRule="auto"/>
        <w:ind w:firstLine="480" w:firstLineChars="200"/>
        <w:rPr>
          <w:sz w:val="24"/>
        </w:rPr>
      </w:pPr>
      <w:r>
        <w:rPr>
          <w:rFonts w:hint="eastAsia"/>
          <w:sz w:val="24"/>
        </w:rPr>
        <w:t>5．土壤质量监测</w:t>
      </w:r>
    </w:p>
    <w:p>
      <w:pPr>
        <w:tabs>
          <w:tab w:val="left" w:pos="1647"/>
        </w:tabs>
        <w:adjustRightInd w:val="0"/>
        <w:snapToGrid w:val="0"/>
        <w:spacing w:line="360" w:lineRule="auto"/>
        <w:ind w:firstLine="480" w:firstLineChars="200"/>
        <w:rPr>
          <w:sz w:val="24"/>
        </w:rPr>
      </w:pPr>
      <w:r>
        <w:rPr>
          <w:rFonts w:hint="eastAsia"/>
          <w:sz w:val="24"/>
        </w:rPr>
        <w:t>了解土壤及其相关概念，土壤污染的成因，掌握土壤环境环境质量标准、土壤环境质量监测方案的制定及土壤样品的采集、加工与预处理，土壤监测指标土壤水分、pH值、可溶性盐分、金属及其化合物以及有机化合物污染物测定的内容与方法原理；了解污染场地土壤监测的目的、指标以及意义。</w:t>
      </w:r>
    </w:p>
    <w:p>
      <w:pPr>
        <w:tabs>
          <w:tab w:val="left" w:pos="1647"/>
        </w:tabs>
        <w:adjustRightInd w:val="0"/>
        <w:snapToGrid w:val="0"/>
        <w:spacing w:line="360" w:lineRule="auto"/>
        <w:ind w:firstLine="480" w:firstLineChars="200"/>
        <w:rPr>
          <w:sz w:val="24"/>
        </w:rPr>
      </w:pPr>
      <w:r>
        <w:rPr>
          <w:rFonts w:hint="eastAsia"/>
          <w:sz w:val="24"/>
        </w:rPr>
        <w:t>6．环境污染生物监测</w:t>
      </w:r>
    </w:p>
    <w:p>
      <w:pPr>
        <w:tabs>
          <w:tab w:val="left" w:pos="1647"/>
        </w:tabs>
        <w:adjustRightInd w:val="0"/>
        <w:snapToGrid w:val="0"/>
        <w:spacing w:line="360" w:lineRule="auto"/>
        <w:ind w:firstLine="480" w:firstLineChars="200"/>
        <w:rPr>
          <w:sz w:val="24"/>
        </w:rPr>
      </w:pPr>
      <w:r>
        <w:rPr>
          <w:rFonts w:hint="eastAsia"/>
          <w:sz w:val="24"/>
        </w:rPr>
        <w:t>了解环境污染生物监测和生态监测的定义，掌握水环境污染生物监测的样品采集、监测项目、生物群落监测方法、生物测试法以及细菌学检验法；掌握空气环境污染生物监测的植物监测、动物监测与微生物监测的方法，熟悉生物污染监测生物样品的采集、制备、预处理的方法及污染物的测定；了解生态监测的类型及内容、生态监测方案的制定，陆生和水生生态系统的监测指标，有害物质的毒理学检测意义与方法。</w:t>
      </w:r>
    </w:p>
    <w:p>
      <w:pPr>
        <w:tabs>
          <w:tab w:val="left" w:pos="1647"/>
        </w:tabs>
        <w:adjustRightInd w:val="0"/>
        <w:snapToGrid w:val="0"/>
        <w:spacing w:line="360" w:lineRule="auto"/>
        <w:ind w:firstLine="480" w:firstLineChars="200"/>
        <w:rPr>
          <w:sz w:val="24"/>
        </w:rPr>
      </w:pPr>
      <w:r>
        <w:rPr>
          <w:rFonts w:hint="eastAsia"/>
          <w:sz w:val="24"/>
        </w:rPr>
        <w:t>7</w:t>
      </w:r>
      <w:r>
        <w:rPr>
          <w:sz w:val="24"/>
        </w:rPr>
        <w:t>.</w:t>
      </w:r>
      <w:r>
        <w:rPr>
          <w:rFonts w:hint="eastAsia"/>
          <w:sz w:val="24"/>
        </w:rPr>
        <w:t>物理性污染监测</w:t>
      </w:r>
    </w:p>
    <w:p>
      <w:pPr>
        <w:tabs>
          <w:tab w:val="left" w:pos="1647"/>
        </w:tabs>
        <w:adjustRightInd w:val="0"/>
        <w:snapToGrid w:val="0"/>
        <w:spacing w:line="360" w:lineRule="auto"/>
        <w:ind w:firstLine="480" w:firstLineChars="200"/>
        <w:rPr>
          <w:sz w:val="24"/>
        </w:rPr>
      </w:pPr>
      <w:r>
        <w:rPr>
          <w:rFonts w:hint="eastAsia"/>
          <w:sz w:val="24"/>
        </w:rPr>
        <w:t>了解噪声与振动、核及电磁辐射监测的目的及意义，熟悉噪声污染、放射性污染监测的项目、标准、来源、危害，掌握噪声监测的仪器及原理，掌握放射性测量实验室和检测仪器、监测对象及内容以及环境中放射性的监测方法。</w:t>
      </w:r>
    </w:p>
    <w:p>
      <w:pPr>
        <w:tabs>
          <w:tab w:val="left" w:pos="1647"/>
        </w:tabs>
        <w:adjustRightInd w:val="0"/>
        <w:snapToGrid w:val="0"/>
        <w:spacing w:line="360" w:lineRule="auto"/>
        <w:ind w:firstLine="480" w:firstLineChars="200"/>
        <w:rPr>
          <w:sz w:val="24"/>
        </w:rPr>
      </w:pPr>
      <w:r>
        <w:rPr>
          <w:rFonts w:hint="eastAsia"/>
          <w:sz w:val="24"/>
        </w:rPr>
        <w:t>8．遥感监测</w:t>
      </w:r>
    </w:p>
    <w:p>
      <w:pPr>
        <w:tabs>
          <w:tab w:val="left" w:pos="1647"/>
        </w:tabs>
        <w:adjustRightInd w:val="0"/>
        <w:snapToGrid w:val="0"/>
        <w:spacing w:line="360" w:lineRule="auto"/>
        <w:ind w:firstLine="480" w:firstLineChars="200"/>
        <w:rPr>
          <w:rFonts w:hint="eastAsia"/>
          <w:sz w:val="24"/>
        </w:rPr>
      </w:pPr>
      <w:r>
        <w:rPr>
          <w:rFonts w:hint="eastAsia"/>
          <w:sz w:val="24"/>
        </w:rPr>
        <w:t>了解遥感的定义、组成与分类及遥感监测的意义；熟悉遥感监测的基本原理及仪器组成；了解大气、水环境和生态环境遥感监测的内容及特点。</w:t>
      </w:r>
    </w:p>
    <w:p>
      <w:pPr>
        <w:tabs>
          <w:tab w:val="left" w:pos="1647"/>
        </w:tabs>
        <w:adjustRightInd w:val="0"/>
        <w:snapToGrid w:val="0"/>
        <w:spacing w:line="360" w:lineRule="auto"/>
        <w:ind w:firstLine="480" w:firstLineChars="200"/>
        <w:outlineLvl w:val="0"/>
        <w:rPr>
          <w:sz w:val="24"/>
        </w:rPr>
      </w:pPr>
      <w:r>
        <w:rPr>
          <w:sz w:val="24"/>
        </w:rPr>
        <w:t>9</w:t>
      </w:r>
      <w:r>
        <w:rPr>
          <w:rFonts w:hint="eastAsia"/>
          <w:sz w:val="24"/>
        </w:rPr>
        <w:t>. 环境污染自动监测</w:t>
      </w:r>
    </w:p>
    <w:p>
      <w:pPr>
        <w:tabs>
          <w:tab w:val="left" w:pos="1647"/>
        </w:tabs>
        <w:adjustRightInd w:val="0"/>
        <w:snapToGrid w:val="0"/>
        <w:spacing w:line="360" w:lineRule="auto"/>
        <w:ind w:firstLine="480" w:firstLineChars="200"/>
        <w:outlineLvl w:val="0"/>
        <w:rPr>
          <w:sz w:val="24"/>
        </w:rPr>
      </w:pPr>
      <w:r>
        <w:rPr>
          <w:rFonts w:hint="eastAsia"/>
          <w:sz w:val="24"/>
        </w:rPr>
        <w:t>了解环境自动监测、应急监测的意义和内容，空气污染连续自动监测系统和水污染连续自动监测系统的组成及功能、子站布设及监测项目、污染自动监测仪器等，遥感监测技术、摄影遥感技术、红外扫描遥测技术、相关光谱遥测技术及激光雷达遥测技术，简易比色法、检气管法与环炉技术等简易监测方法。</w:t>
      </w:r>
    </w:p>
    <w:p>
      <w:pPr>
        <w:tabs>
          <w:tab w:val="left" w:pos="1647"/>
        </w:tabs>
        <w:adjustRightInd w:val="0"/>
        <w:snapToGrid w:val="0"/>
        <w:spacing w:line="360" w:lineRule="auto"/>
        <w:ind w:firstLine="480" w:firstLineChars="200"/>
        <w:rPr>
          <w:sz w:val="24"/>
        </w:rPr>
      </w:pPr>
      <w:r>
        <w:rPr>
          <w:rFonts w:hint="eastAsia"/>
          <w:sz w:val="24"/>
        </w:rPr>
        <w:t>了解突发性环境污染事故监测的意义、 产生原因、分类、特征与应急组织和网络，突发性环境污染事故的应急监测和处置方法。</w:t>
      </w:r>
    </w:p>
    <w:p>
      <w:pPr>
        <w:tabs>
          <w:tab w:val="left" w:pos="1647"/>
        </w:tabs>
        <w:adjustRightInd w:val="0"/>
        <w:snapToGrid w:val="0"/>
        <w:spacing w:line="360" w:lineRule="auto"/>
        <w:ind w:firstLine="480" w:firstLineChars="200"/>
        <w:rPr>
          <w:sz w:val="24"/>
        </w:rPr>
      </w:pPr>
      <w:r>
        <w:rPr>
          <w:sz w:val="24"/>
        </w:rPr>
        <w:t>10</w:t>
      </w:r>
      <w:r>
        <w:rPr>
          <w:rFonts w:hint="eastAsia"/>
          <w:sz w:val="24"/>
        </w:rPr>
        <w:t>．环境监测管理和质量保证</w:t>
      </w:r>
    </w:p>
    <w:p>
      <w:pPr>
        <w:tabs>
          <w:tab w:val="left" w:pos="1647"/>
        </w:tabs>
        <w:adjustRightInd w:val="0"/>
        <w:snapToGrid w:val="0"/>
        <w:spacing w:line="360" w:lineRule="auto"/>
        <w:ind w:firstLine="480" w:firstLineChars="200"/>
        <w:rPr>
          <w:sz w:val="24"/>
        </w:rPr>
      </w:pPr>
      <w:r>
        <w:rPr>
          <w:rFonts w:hint="eastAsia"/>
          <w:sz w:val="24"/>
        </w:rPr>
        <w:t xml:space="preserve">了解环境监测质量保证的意义和内容，掌握监测实验室用水、试剂分类等基础；掌握实验监测数据的统计处理和结果表述及测量结果的t检验方法，了解直线相关和回归以及方差分析、实验室内质量保证、实验室间质量控制，标准分析方法和分析方法标准化，环境标准物质及其分类，标准物质的制备和定值。 </w:t>
      </w:r>
    </w:p>
    <w:p>
      <w:pPr>
        <w:tabs>
          <w:tab w:val="left" w:pos="3060"/>
        </w:tabs>
        <w:spacing w:before="100" w:beforeAutospacing="1" w:after="100" w:afterAutospacing="1" w:line="360" w:lineRule="auto"/>
        <w:ind w:firstLine="472" w:firstLineChars="196"/>
        <w:rPr>
          <w:sz w:val="24"/>
        </w:rPr>
      </w:pPr>
      <w:r>
        <w:rPr>
          <w:rFonts w:hint="eastAsia"/>
          <w:b/>
          <w:sz w:val="24"/>
        </w:rPr>
        <w:t>三</w:t>
      </w:r>
      <w:r>
        <w:rPr>
          <w:b/>
          <w:sz w:val="24"/>
        </w:rPr>
        <w:t>、</w:t>
      </w:r>
      <w:r>
        <w:rPr>
          <w:rStyle w:val="11"/>
          <w:sz w:val="24"/>
        </w:rPr>
        <w:t>试卷结构</w:t>
      </w:r>
    </w:p>
    <w:p>
      <w:pPr>
        <w:pStyle w:val="2"/>
        <w:spacing w:before="100" w:beforeAutospacing="1" w:after="100" w:afterAutospacing="1" w:line="360" w:lineRule="auto"/>
        <w:ind w:left="0" w:leftChars="0" w:firstLine="480" w:firstLineChars="200"/>
        <w:rPr>
          <w:rFonts w:hint="eastAsia"/>
          <w:color w:val="000000"/>
          <w:sz w:val="24"/>
        </w:rPr>
      </w:pPr>
      <w:r>
        <w:rPr>
          <w:rFonts w:hint="eastAsia"/>
          <w:color w:val="000000"/>
          <w:sz w:val="24"/>
        </w:rPr>
        <w:t>总分100分。</w:t>
      </w:r>
    </w:p>
    <w:p>
      <w:pPr>
        <w:pStyle w:val="2"/>
        <w:spacing w:before="100" w:beforeAutospacing="1" w:after="100" w:afterAutospacing="1" w:line="360" w:lineRule="auto"/>
        <w:ind w:left="0" w:leftChars="0" w:firstLine="480" w:firstLineChars="200"/>
        <w:rPr>
          <w:color w:val="000000"/>
          <w:sz w:val="24"/>
        </w:rPr>
      </w:pPr>
      <w:r>
        <w:rPr>
          <w:rFonts w:hint="eastAsia"/>
          <w:color w:val="000000"/>
          <w:sz w:val="24"/>
        </w:rPr>
        <w:t>各章内容分数占比如下表：</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94"/>
        <w:gridCol w:w="1984"/>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226" w:type="pct"/>
            <w:noWrap w:val="0"/>
            <w:vAlign w:val="center"/>
          </w:tcPr>
          <w:p>
            <w:pPr>
              <w:pStyle w:val="2"/>
              <w:spacing w:before="100" w:beforeAutospacing="1" w:after="100" w:afterAutospacing="1" w:line="360" w:lineRule="auto"/>
              <w:ind w:left="0" w:leftChars="0"/>
              <w:jc w:val="center"/>
              <w:rPr>
                <w:rFonts w:hint="eastAsia"/>
                <w:color w:val="000000"/>
                <w:sz w:val="24"/>
              </w:rPr>
            </w:pPr>
            <w:r>
              <w:rPr>
                <w:rFonts w:hint="eastAsia"/>
                <w:color w:val="000000"/>
                <w:sz w:val="24"/>
              </w:rPr>
              <w:t>章节</w:t>
            </w:r>
          </w:p>
        </w:tc>
        <w:tc>
          <w:tcPr>
            <w:tcW w:w="1164" w:type="pct"/>
            <w:noWrap w:val="0"/>
            <w:vAlign w:val="center"/>
          </w:tcPr>
          <w:p>
            <w:pPr>
              <w:pStyle w:val="2"/>
              <w:spacing w:before="100" w:beforeAutospacing="1" w:after="100" w:afterAutospacing="1" w:line="360" w:lineRule="auto"/>
              <w:ind w:left="0" w:leftChars="0"/>
              <w:jc w:val="center"/>
              <w:rPr>
                <w:rFonts w:hint="eastAsia"/>
                <w:color w:val="000000"/>
                <w:sz w:val="24"/>
              </w:rPr>
            </w:pPr>
            <w:r>
              <w:rPr>
                <w:rFonts w:hint="eastAsia"/>
                <w:color w:val="000000"/>
                <w:sz w:val="24"/>
              </w:rPr>
              <w:t>分数占比（%）</w:t>
            </w:r>
          </w:p>
        </w:tc>
        <w:tc>
          <w:tcPr>
            <w:tcW w:w="1610" w:type="pct"/>
            <w:noWrap w:val="0"/>
            <w:vAlign w:val="center"/>
          </w:tcPr>
          <w:p>
            <w:pPr>
              <w:pStyle w:val="2"/>
              <w:spacing w:before="100" w:beforeAutospacing="1" w:after="100" w:afterAutospacing="1" w:line="360" w:lineRule="auto"/>
              <w:ind w:left="0" w:leftChars="0"/>
              <w:jc w:val="center"/>
              <w:rPr>
                <w:rFonts w:hint="eastAsia"/>
                <w:color w:val="000000"/>
                <w:sz w:val="24"/>
              </w:rPr>
            </w:pPr>
            <w:r>
              <w:rPr>
                <w:rFonts w:hint="eastAsia"/>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226" w:type="pct"/>
            <w:noWrap w:val="0"/>
            <w:vAlign w:val="top"/>
          </w:tcPr>
          <w:p>
            <w:pPr>
              <w:pStyle w:val="2"/>
              <w:spacing w:before="100" w:beforeAutospacing="1" w:after="100" w:afterAutospacing="1" w:line="360" w:lineRule="auto"/>
              <w:ind w:left="0" w:leftChars="0"/>
              <w:rPr>
                <w:rFonts w:hint="eastAsia"/>
                <w:color w:val="000000"/>
                <w:sz w:val="24"/>
              </w:rPr>
            </w:pPr>
            <w:r>
              <w:rPr>
                <w:rFonts w:hint="eastAsia"/>
                <w:color w:val="000000"/>
                <w:sz w:val="24"/>
              </w:rPr>
              <w:t>第1章</w:t>
            </w:r>
            <w:r>
              <w:rPr>
                <w:rFonts w:hint="eastAsia"/>
                <w:sz w:val="24"/>
              </w:rPr>
              <w:t>绪论</w:t>
            </w:r>
          </w:p>
        </w:tc>
        <w:tc>
          <w:tcPr>
            <w:tcW w:w="1164" w:type="pct"/>
            <w:noWrap w:val="0"/>
            <w:vAlign w:val="top"/>
          </w:tcPr>
          <w:p>
            <w:pPr>
              <w:pStyle w:val="2"/>
              <w:spacing w:before="100" w:beforeAutospacing="1" w:after="100" w:afterAutospacing="1" w:line="360" w:lineRule="auto"/>
              <w:ind w:left="0" w:leftChars="0"/>
              <w:jc w:val="center"/>
              <w:rPr>
                <w:rFonts w:hint="eastAsia"/>
                <w:color w:val="000000"/>
                <w:sz w:val="24"/>
              </w:rPr>
            </w:pPr>
            <w:r>
              <w:rPr>
                <w:rFonts w:hint="eastAsia"/>
                <w:color w:val="000000"/>
                <w:sz w:val="24"/>
              </w:rPr>
              <w:t>5</w:t>
            </w:r>
          </w:p>
        </w:tc>
        <w:tc>
          <w:tcPr>
            <w:tcW w:w="1610" w:type="pct"/>
            <w:noWrap w:val="0"/>
            <w:vAlign w:val="top"/>
          </w:tcPr>
          <w:p>
            <w:pPr>
              <w:pStyle w:val="2"/>
              <w:spacing w:before="100" w:beforeAutospacing="1" w:after="100" w:afterAutospacing="1" w:line="360" w:lineRule="auto"/>
              <w:ind w:left="0" w:leftChars="0"/>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226" w:type="pct"/>
            <w:noWrap w:val="0"/>
            <w:vAlign w:val="top"/>
          </w:tcPr>
          <w:p>
            <w:pPr>
              <w:pStyle w:val="2"/>
              <w:spacing w:before="100" w:beforeAutospacing="1" w:after="100" w:afterAutospacing="1" w:line="360" w:lineRule="auto"/>
              <w:ind w:left="0" w:leftChars="0"/>
              <w:rPr>
                <w:rFonts w:hint="eastAsia"/>
                <w:color w:val="000000"/>
                <w:sz w:val="24"/>
              </w:rPr>
            </w:pPr>
            <w:r>
              <w:rPr>
                <w:rFonts w:hint="eastAsia"/>
                <w:color w:val="000000"/>
                <w:sz w:val="24"/>
              </w:rPr>
              <w:t>第</w:t>
            </w:r>
            <w:r>
              <w:rPr>
                <w:color w:val="000000"/>
                <w:sz w:val="24"/>
              </w:rPr>
              <w:t>2</w:t>
            </w:r>
            <w:r>
              <w:rPr>
                <w:rFonts w:hint="eastAsia"/>
                <w:color w:val="000000"/>
                <w:sz w:val="24"/>
              </w:rPr>
              <w:t>章水和废水监测</w:t>
            </w:r>
          </w:p>
        </w:tc>
        <w:tc>
          <w:tcPr>
            <w:tcW w:w="1164" w:type="pct"/>
            <w:noWrap w:val="0"/>
            <w:vAlign w:val="top"/>
          </w:tcPr>
          <w:p>
            <w:pPr>
              <w:pStyle w:val="2"/>
              <w:spacing w:before="100" w:beforeAutospacing="1" w:after="100" w:afterAutospacing="1" w:line="360" w:lineRule="auto"/>
              <w:ind w:left="0" w:leftChars="0"/>
              <w:jc w:val="center"/>
              <w:rPr>
                <w:rFonts w:hint="eastAsia"/>
                <w:color w:val="000000"/>
                <w:sz w:val="24"/>
              </w:rPr>
            </w:pPr>
            <w:r>
              <w:rPr>
                <w:rFonts w:hint="eastAsia"/>
                <w:color w:val="000000"/>
                <w:sz w:val="24"/>
              </w:rPr>
              <w:t>2</w:t>
            </w:r>
            <w:r>
              <w:rPr>
                <w:color w:val="000000"/>
                <w:sz w:val="24"/>
              </w:rPr>
              <w:t>0</w:t>
            </w:r>
          </w:p>
        </w:tc>
        <w:tc>
          <w:tcPr>
            <w:tcW w:w="1610" w:type="pct"/>
            <w:noWrap w:val="0"/>
            <w:vAlign w:val="top"/>
          </w:tcPr>
          <w:p>
            <w:pPr>
              <w:pStyle w:val="2"/>
              <w:spacing w:before="100" w:beforeAutospacing="1" w:after="100" w:afterAutospacing="1" w:line="360" w:lineRule="auto"/>
              <w:ind w:left="0" w:leftChars="0"/>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226" w:type="pct"/>
            <w:noWrap w:val="0"/>
            <w:vAlign w:val="top"/>
          </w:tcPr>
          <w:p>
            <w:pPr>
              <w:pStyle w:val="2"/>
              <w:spacing w:before="100" w:beforeAutospacing="1" w:after="100" w:afterAutospacing="1" w:line="360" w:lineRule="auto"/>
              <w:ind w:left="0" w:leftChars="0"/>
              <w:rPr>
                <w:rFonts w:hint="eastAsia"/>
                <w:color w:val="000000"/>
                <w:sz w:val="24"/>
              </w:rPr>
            </w:pPr>
            <w:r>
              <w:rPr>
                <w:rFonts w:hint="eastAsia"/>
                <w:color w:val="000000"/>
                <w:sz w:val="24"/>
              </w:rPr>
              <w:t>第</w:t>
            </w:r>
            <w:r>
              <w:rPr>
                <w:color w:val="000000"/>
                <w:sz w:val="24"/>
              </w:rPr>
              <w:t>3</w:t>
            </w:r>
            <w:r>
              <w:rPr>
                <w:rFonts w:hint="eastAsia"/>
                <w:color w:val="000000"/>
                <w:sz w:val="24"/>
              </w:rPr>
              <w:t>章空气和废气监测</w:t>
            </w:r>
          </w:p>
        </w:tc>
        <w:tc>
          <w:tcPr>
            <w:tcW w:w="1164" w:type="pct"/>
            <w:noWrap w:val="0"/>
            <w:vAlign w:val="top"/>
          </w:tcPr>
          <w:p>
            <w:pPr>
              <w:pStyle w:val="2"/>
              <w:spacing w:before="100" w:beforeAutospacing="1" w:after="100" w:afterAutospacing="1" w:line="360" w:lineRule="auto"/>
              <w:ind w:left="0" w:leftChars="0"/>
              <w:jc w:val="center"/>
              <w:rPr>
                <w:rFonts w:hint="eastAsia"/>
                <w:color w:val="000000"/>
                <w:sz w:val="24"/>
              </w:rPr>
            </w:pPr>
            <w:r>
              <w:rPr>
                <w:rFonts w:hint="eastAsia"/>
                <w:color w:val="000000"/>
                <w:sz w:val="24"/>
              </w:rPr>
              <w:t>2</w:t>
            </w:r>
            <w:r>
              <w:rPr>
                <w:color w:val="000000"/>
                <w:sz w:val="24"/>
              </w:rPr>
              <w:t>0</w:t>
            </w:r>
          </w:p>
        </w:tc>
        <w:tc>
          <w:tcPr>
            <w:tcW w:w="1610" w:type="pct"/>
            <w:noWrap w:val="0"/>
            <w:vAlign w:val="top"/>
          </w:tcPr>
          <w:p>
            <w:pPr>
              <w:pStyle w:val="2"/>
              <w:spacing w:before="100" w:beforeAutospacing="1" w:after="100" w:afterAutospacing="1" w:line="360" w:lineRule="auto"/>
              <w:ind w:left="0" w:leftChars="0"/>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226" w:type="pct"/>
            <w:noWrap w:val="0"/>
            <w:vAlign w:val="top"/>
          </w:tcPr>
          <w:p>
            <w:pPr>
              <w:pStyle w:val="2"/>
              <w:spacing w:before="100" w:beforeAutospacing="1" w:after="100" w:afterAutospacing="1" w:line="360" w:lineRule="auto"/>
              <w:ind w:left="0" w:leftChars="0"/>
              <w:rPr>
                <w:rFonts w:hint="eastAsia"/>
                <w:color w:val="000000"/>
                <w:sz w:val="24"/>
              </w:rPr>
            </w:pPr>
            <w:r>
              <w:rPr>
                <w:rFonts w:hint="eastAsia"/>
                <w:color w:val="000000"/>
                <w:sz w:val="24"/>
              </w:rPr>
              <w:t>第</w:t>
            </w:r>
            <w:r>
              <w:rPr>
                <w:color w:val="000000"/>
                <w:sz w:val="24"/>
              </w:rPr>
              <w:t>4</w:t>
            </w:r>
            <w:r>
              <w:rPr>
                <w:rFonts w:hint="eastAsia"/>
                <w:color w:val="000000"/>
                <w:sz w:val="24"/>
              </w:rPr>
              <w:t>章固体废物监测</w:t>
            </w:r>
          </w:p>
        </w:tc>
        <w:tc>
          <w:tcPr>
            <w:tcW w:w="1164" w:type="pct"/>
            <w:noWrap w:val="0"/>
            <w:vAlign w:val="top"/>
          </w:tcPr>
          <w:p>
            <w:pPr>
              <w:pStyle w:val="2"/>
              <w:spacing w:before="100" w:beforeAutospacing="1" w:after="100" w:afterAutospacing="1" w:line="360" w:lineRule="auto"/>
              <w:ind w:left="0" w:leftChars="0"/>
              <w:jc w:val="center"/>
              <w:rPr>
                <w:rFonts w:hint="eastAsia"/>
                <w:color w:val="000000"/>
                <w:sz w:val="24"/>
              </w:rPr>
            </w:pPr>
            <w:r>
              <w:rPr>
                <w:rFonts w:hint="eastAsia"/>
                <w:color w:val="000000"/>
                <w:sz w:val="24"/>
              </w:rPr>
              <w:t>1</w:t>
            </w:r>
            <w:r>
              <w:rPr>
                <w:color w:val="000000"/>
                <w:sz w:val="24"/>
              </w:rPr>
              <w:t>0</w:t>
            </w:r>
          </w:p>
        </w:tc>
        <w:tc>
          <w:tcPr>
            <w:tcW w:w="1610" w:type="pct"/>
            <w:noWrap w:val="0"/>
            <w:vAlign w:val="top"/>
          </w:tcPr>
          <w:p>
            <w:pPr>
              <w:pStyle w:val="2"/>
              <w:spacing w:before="100" w:beforeAutospacing="1" w:after="100" w:afterAutospacing="1" w:line="360" w:lineRule="auto"/>
              <w:ind w:left="0" w:leftChars="0"/>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226" w:type="pct"/>
            <w:noWrap w:val="0"/>
            <w:vAlign w:val="top"/>
          </w:tcPr>
          <w:p>
            <w:pPr>
              <w:pStyle w:val="2"/>
              <w:spacing w:before="100" w:beforeAutospacing="1" w:after="100" w:afterAutospacing="1" w:line="360" w:lineRule="auto"/>
              <w:ind w:left="0" w:leftChars="0"/>
              <w:rPr>
                <w:rFonts w:hint="eastAsia"/>
                <w:color w:val="000000"/>
                <w:sz w:val="24"/>
              </w:rPr>
            </w:pPr>
            <w:r>
              <w:rPr>
                <w:rFonts w:hint="eastAsia"/>
                <w:color w:val="000000"/>
                <w:sz w:val="24"/>
              </w:rPr>
              <w:t>第</w:t>
            </w:r>
            <w:r>
              <w:rPr>
                <w:color w:val="000000"/>
                <w:sz w:val="24"/>
              </w:rPr>
              <w:t>5</w:t>
            </w:r>
            <w:r>
              <w:rPr>
                <w:rFonts w:hint="eastAsia"/>
                <w:color w:val="000000"/>
                <w:sz w:val="24"/>
              </w:rPr>
              <w:t>章土壤质量监测</w:t>
            </w:r>
          </w:p>
        </w:tc>
        <w:tc>
          <w:tcPr>
            <w:tcW w:w="1164" w:type="pct"/>
            <w:noWrap w:val="0"/>
            <w:vAlign w:val="top"/>
          </w:tcPr>
          <w:p>
            <w:pPr>
              <w:pStyle w:val="2"/>
              <w:spacing w:before="100" w:beforeAutospacing="1" w:after="100" w:afterAutospacing="1" w:line="360" w:lineRule="auto"/>
              <w:ind w:left="0" w:leftChars="0"/>
              <w:jc w:val="center"/>
              <w:rPr>
                <w:rFonts w:hint="eastAsia"/>
                <w:color w:val="000000"/>
                <w:sz w:val="24"/>
              </w:rPr>
            </w:pPr>
            <w:r>
              <w:rPr>
                <w:rFonts w:hint="eastAsia"/>
                <w:color w:val="000000"/>
                <w:sz w:val="24"/>
              </w:rPr>
              <w:t>1</w:t>
            </w:r>
            <w:r>
              <w:rPr>
                <w:color w:val="000000"/>
                <w:sz w:val="24"/>
              </w:rPr>
              <w:t>0</w:t>
            </w:r>
          </w:p>
        </w:tc>
        <w:tc>
          <w:tcPr>
            <w:tcW w:w="1610" w:type="pct"/>
            <w:noWrap w:val="0"/>
            <w:vAlign w:val="top"/>
          </w:tcPr>
          <w:p>
            <w:pPr>
              <w:pStyle w:val="2"/>
              <w:spacing w:before="100" w:beforeAutospacing="1" w:after="100" w:afterAutospacing="1"/>
              <w:ind w:left="0" w:leftChars="0"/>
              <w:rPr>
                <w:rFonts w:hint="eastAsia"/>
                <w:color w:val="000000"/>
                <w:sz w:val="24"/>
              </w:rPr>
            </w:pPr>
            <w:r>
              <w:rPr>
                <w:rFonts w:hint="eastAsia"/>
                <w:color w:val="000000"/>
                <w:sz w:val="24"/>
              </w:rPr>
              <w:t>场地土壤监测内容需查阅中国生态环境部网站及有关场地调查方面的标准和技术规范等。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226" w:type="pct"/>
            <w:noWrap w:val="0"/>
            <w:vAlign w:val="top"/>
          </w:tcPr>
          <w:p>
            <w:pPr>
              <w:pStyle w:val="2"/>
              <w:spacing w:before="100" w:beforeAutospacing="1" w:after="100" w:afterAutospacing="1" w:line="360" w:lineRule="auto"/>
              <w:ind w:left="0" w:leftChars="0"/>
              <w:rPr>
                <w:rFonts w:hint="eastAsia"/>
                <w:color w:val="000000"/>
                <w:sz w:val="24"/>
              </w:rPr>
            </w:pPr>
            <w:r>
              <w:rPr>
                <w:rFonts w:hint="eastAsia"/>
                <w:color w:val="000000"/>
                <w:sz w:val="24"/>
              </w:rPr>
              <w:t>第</w:t>
            </w:r>
            <w:r>
              <w:rPr>
                <w:color w:val="000000"/>
                <w:sz w:val="24"/>
              </w:rPr>
              <w:t>6</w:t>
            </w:r>
            <w:r>
              <w:rPr>
                <w:rFonts w:hint="eastAsia"/>
                <w:color w:val="000000"/>
                <w:sz w:val="24"/>
              </w:rPr>
              <w:t>章环境污染生物监测</w:t>
            </w:r>
          </w:p>
        </w:tc>
        <w:tc>
          <w:tcPr>
            <w:tcW w:w="1164" w:type="pct"/>
            <w:noWrap w:val="0"/>
            <w:vAlign w:val="top"/>
          </w:tcPr>
          <w:p>
            <w:pPr>
              <w:pStyle w:val="2"/>
              <w:spacing w:before="100" w:beforeAutospacing="1" w:after="100" w:afterAutospacing="1" w:line="360" w:lineRule="auto"/>
              <w:ind w:left="0" w:leftChars="0"/>
              <w:jc w:val="center"/>
              <w:rPr>
                <w:rFonts w:hint="eastAsia"/>
                <w:color w:val="000000"/>
                <w:sz w:val="24"/>
              </w:rPr>
            </w:pPr>
            <w:r>
              <w:rPr>
                <w:rFonts w:hint="eastAsia"/>
                <w:color w:val="000000"/>
                <w:sz w:val="24"/>
              </w:rPr>
              <w:t>5</w:t>
            </w:r>
          </w:p>
        </w:tc>
        <w:tc>
          <w:tcPr>
            <w:tcW w:w="1610" w:type="pct"/>
            <w:noWrap w:val="0"/>
            <w:vAlign w:val="top"/>
          </w:tcPr>
          <w:p>
            <w:pPr>
              <w:pStyle w:val="2"/>
              <w:spacing w:before="100" w:beforeAutospacing="1" w:after="100" w:afterAutospacing="1" w:line="360" w:lineRule="auto"/>
              <w:ind w:left="0" w:leftChars="0"/>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226" w:type="pct"/>
            <w:noWrap w:val="0"/>
            <w:vAlign w:val="top"/>
          </w:tcPr>
          <w:p>
            <w:pPr>
              <w:pStyle w:val="2"/>
              <w:spacing w:before="100" w:beforeAutospacing="1" w:after="100" w:afterAutospacing="1" w:line="360" w:lineRule="auto"/>
              <w:ind w:left="0" w:leftChars="0"/>
              <w:rPr>
                <w:rFonts w:hint="eastAsia"/>
                <w:color w:val="000000"/>
                <w:sz w:val="24"/>
              </w:rPr>
            </w:pPr>
            <w:r>
              <w:rPr>
                <w:rFonts w:hint="eastAsia"/>
                <w:color w:val="000000"/>
                <w:sz w:val="24"/>
              </w:rPr>
              <w:t>第</w:t>
            </w:r>
            <w:r>
              <w:rPr>
                <w:color w:val="000000"/>
                <w:sz w:val="24"/>
              </w:rPr>
              <w:t>7</w:t>
            </w:r>
            <w:r>
              <w:rPr>
                <w:rFonts w:hint="eastAsia"/>
                <w:color w:val="000000"/>
                <w:sz w:val="24"/>
              </w:rPr>
              <w:t>章物理性污染监测</w:t>
            </w:r>
          </w:p>
        </w:tc>
        <w:tc>
          <w:tcPr>
            <w:tcW w:w="1164" w:type="pct"/>
            <w:noWrap w:val="0"/>
            <w:vAlign w:val="top"/>
          </w:tcPr>
          <w:p>
            <w:pPr>
              <w:pStyle w:val="2"/>
              <w:spacing w:before="100" w:beforeAutospacing="1" w:after="100" w:afterAutospacing="1" w:line="360" w:lineRule="auto"/>
              <w:ind w:left="0" w:leftChars="0"/>
              <w:jc w:val="center"/>
              <w:rPr>
                <w:rFonts w:hint="eastAsia"/>
                <w:color w:val="000000"/>
                <w:sz w:val="24"/>
              </w:rPr>
            </w:pPr>
            <w:r>
              <w:rPr>
                <w:color w:val="000000"/>
                <w:sz w:val="24"/>
              </w:rPr>
              <w:t>10</w:t>
            </w:r>
          </w:p>
        </w:tc>
        <w:tc>
          <w:tcPr>
            <w:tcW w:w="1610" w:type="pct"/>
            <w:noWrap w:val="0"/>
            <w:vAlign w:val="top"/>
          </w:tcPr>
          <w:p>
            <w:pPr>
              <w:pStyle w:val="2"/>
              <w:spacing w:before="100" w:beforeAutospacing="1" w:after="100" w:afterAutospacing="1" w:line="360" w:lineRule="auto"/>
              <w:ind w:left="0" w:leftChars="0"/>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226" w:type="pct"/>
            <w:noWrap w:val="0"/>
            <w:vAlign w:val="top"/>
          </w:tcPr>
          <w:p>
            <w:pPr>
              <w:pStyle w:val="2"/>
              <w:spacing w:before="100" w:beforeAutospacing="1" w:after="100" w:afterAutospacing="1" w:line="360" w:lineRule="auto"/>
              <w:ind w:left="0" w:leftChars="0"/>
              <w:rPr>
                <w:rFonts w:hint="eastAsia"/>
                <w:color w:val="000000"/>
                <w:sz w:val="24"/>
              </w:rPr>
            </w:pPr>
            <w:r>
              <w:rPr>
                <w:rFonts w:hint="eastAsia"/>
                <w:color w:val="000000"/>
                <w:sz w:val="24"/>
              </w:rPr>
              <w:t>第</w:t>
            </w:r>
            <w:r>
              <w:rPr>
                <w:color w:val="000000"/>
                <w:sz w:val="24"/>
              </w:rPr>
              <w:t>8</w:t>
            </w:r>
            <w:r>
              <w:rPr>
                <w:rFonts w:hint="eastAsia"/>
                <w:color w:val="000000"/>
                <w:sz w:val="24"/>
              </w:rPr>
              <w:t>章遥感监测</w:t>
            </w:r>
          </w:p>
        </w:tc>
        <w:tc>
          <w:tcPr>
            <w:tcW w:w="1164" w:type="pct"/>
            <w:noWrap w:val="0"/>
            <w:vAlign w:val="top"/>
          </w:tcPr>
          <w:p>
            <w:pPr>
              <w:pStyle w:val="2"/>
              <w:spacing w:before="100" w:beforeAutospacing="1" w:after="100" w:afterAutospacing="1" w:line="360" w:lineRule="auto"/>
              <w:ind w:left="0" w:leftChars="0"/>
              <w:jc w:val="center"/>
              <w:rPr>
                <w:rFonts w:hint="eastAsia"/>
                <w:color w:val="000000"/>
                <w:sz w:val="24"/>
              </w:rPr>
            </w:pPr>
            <w:r>
              <w:rPr>
                <w:rFonts w:hint="eastAsia"/>
                <w:color w:val="000000"/>
                <w:sz w:val="24"/>
              </w:rPr>
              <w:t>5</w:t>
            </w:r>
          </w:p>
        </w:tc>
        <w:tc>
          <w:tcPr>
            <w:tcW w:w="1610" w:type="pct"/>
            <w:noWrap w:val="0"/>
            <w:vAlign w:val="top"/>
          </w:tcPr>
          <w:p>
            <w:pPr>
              <w:pStyle w:val="2"/>
              <w:spacing w:before="100" w:beforeAutospacing="1" w:after="100" w:afterAutospacing="1" w:line="360" w:lineRule="auto"/>
              <w:ind w:left="0" w:leftChars="0"/>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226" w:type="pct"/>
            <w:noWrap w:val="0"/>
            <w:vAlign w:val="top"/>
          </w:tcPr>
          <w:p>
            <w:pPr>
              <w:pStyle w:val="2"/>
              <w:spacing w:before="100" w:beforeAutospacing="1" w:after="100" w:afterAutospacing="1" w:line="360" w:lineRule="auto"/>
              <w:ind w:left="0" w:leftChars="0"/>
              <w:rPr>
                <w:rFonts w:hint="eastAsia"/>
                <w:color w:val="000000"/>
                <w:sz w:val="24"/>
              </w:rPr>
            </w:pPr>
            <w:r>
              <w:rPr>
                <w:rFonts w:hint="eastAsia"/>
                <w:color w:val="000000"/>
                <w:sz w:val="24"/>
              </w:rPr>
              <w:t>第</w:t>
            </w:r>
            <w:r>
              <w:rPr>
                <w:color w:val="000000"/>
                <w:sz w:val="24"/>
              </w:rPr>
              <w:t>9</w:t>
            </w:r>
            <w:r>
              <w:rPr>
                <w:rFonts w:hint="eastAsia"/>
                <w:color w:val="000000"/>
                <w:sz w:val="24"/>
              </w:rPr>
              <w:t>章环境污染自动监测</w:t>
            </w:r>
          </w:p>
        </w:tc>
        <w:tc>
          <w:tcPr>
            <w:tcW w:w="1164" w:type="pct"/>
            <w:noWrap w:val="0"/>
            <w:vAlign w:val="top"/>
          </w:tcPr>
          <w:p>
            <w:pPr>
              <w:pStyle w:val="2"/>
              <w:spacing w:before="100" w:beforeAutospacing="1" w:after="100" w:afterAutospacing="1" w:line="360" w:lineRule="auto"/>
              <w:ind w:left="0" w:leftChars="0"/>
              <w:jc w:val="center"/>
              <w:rPr>
                <w:rFonts w:hint="eastAsia"/>
                <w:color w:val="000000"/>
                <w:sz w:val="24"/>
              </w:rPr>
            </w:pPr>
            <w:r>
              <w:rPr>
                <w:rFonts w:hint="eastAsia"/>
                <w:color w:val="000000"/>
                <w:sz w:val="24"/>
              </w:rPr>
              <w:t>5</w:t>
            </w:r>
          </w:p>
        </w:tc>
        <w:tc>
          <w:tcPr>
            <w:tcW w:w="1610" w:type="pct"/>
            <w:noWrap w:val="0"/>
            <w:vAlign w:val="top"/>
          </w:tcPr>
          <w:p>
            <w:pPr>
              <w:pStyle w:val="2"/>
              <w:spacing w:before="100" w:beforeAutospacing="1" w:after="100" w:afterAutospacing="1" w:line="360" w:lineRule="auto"/>
              <w:ind w:left="0" w:leftChars="0"/>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226" w:type="pct"/>
            <w:noWrap w:val="0"/>
            <w:vAlign w:val="top"/>
          </w:tcPr>
          <w:p>
            <w:pPr>
              <w:tabs>
                <w:tab w:val="left" w:pos="1647"/>
              </w:tabs>
              <w:adjustRightInd w:val="0"/>
              <w:snapToGrid w:val="0"/>
              <w:spacing w:line="360" w:lineRule="auto"/>
              <w:rPr>
                <w:rFonts w:hint="eastAsia"/>
                <w:color w:val="000000"/>
                <w:sz w:val="24"/>
              </w:rPr>
            </w:pPr>
            <w:r>
              <w:rPr>
                <w:rFonts w:hint="eastAsia"/>
                <w:color w:val="000000"/>
                <w:sz w:val="24"/>
              </w:rPr>
              <w:t>第1</w:t>
            </w:r>
            <w:r>
              <w:rPr>
                <w:color w:val="000000"/>
                <w:sz w:val="24"/>
              </w:rPr>
              <w:t>0</w:t>
            </w:r>
            <w:r>
              <w:rPr>
                <w:rFonts w:hint="eastAsia"/>
                <w:color w:val="000000"/>
                <w:sz w:val="24"/>
              </w:rPr>
              <w:t>章</w:t>
            </w:r>
            <w:r>
              <w:rPr>
                <w:rFonts w:hint="eastAsia"/>
                <w:sz w:val="24"/>
              </w:rPr>
              <w:t>环境监测管理和质量保证</w:t>
            </w:r>
          </w:p>
        </w:tc>
        <w:tc>
          <w:tcPr>
            <w:tcW w:w="1164" w:type="pct"/>
            <w:noWrap w:val="0"/>
            <w:vAlign w:val="top"/>
          </w:tcPr>
          <w:p>
            <w:pPr>
              <w:pStyle w:val="2"/>
              <w:spacing w:before="100" w:beforeAutospacing="1" w:after="100" w:afterAutospacing="1" w:line="360" w:lineRule="auto"/>
              <w:ind w:left="0" w:leftChars="0"/>
              <w:jc w:val="center"/>
              <w:rPr>
                <w:rFonts w:hint="eastAsia"/>
                <w:color w:val="000000"/>
                <w:sz w:val="24"/>
              </w:rPr>
            </w:pPr>
            <w:r>
              <w:rPr>
                <w:rFonts w:hint="eastAsia"/>
                <w:color w:val="000000"/>
                <w:sz w:val="24"/>
              </w:rPr>
              <w:t>1</w:t>
            </w:r>
            <w:r>
              <w:rPr>
                <w:color w:val="000000"/>
                <w:sz w:val="24"/>
              </w:rPr>
              <w:t>0</w:t>
            </w:r>
          </w:p>
        </w:tc>
        <w:tc>
          <w:tcPr>
            <w:tcW w:w="1610" w:type="pct"/>
            <w:noWrap w:val="0"/>
            <w:vAlign w:val="top"/>
          </w:tcPr>
          <w:p>
            <w:pPr>
              <w:pStyle w:val="2"/>
              <w:spacing w:before="100" w:beforeAutospacing="1" w:after="100" w:afterAutospacing="1" w:line="360" w:lineRule="auto"/>
              <w:ind w:left="0" w:leftChars="0"/>
              <w:rPr>
                <w:rFonts w:hint="eastAsia"/>
                <w:color w:val="000000"/>
                <w:sz w:val="24"/>
              </w:rPr>
            </w:pPr>
          </w:p>
        </w:tc>
      </w:tr>
    </w:tbl>
    <w:p>
      <w:pPr>
        <w:pStyle w:val="2"/>
        <w:spacing w:before="100" w:beforeAutospacing="1" w:after="100" w:afterAutospacing="1" w:line="360" w:lineRule="auto"/>
        <w:ind w:left="0" w:leftChars="0" w:firstLine="480" w:firstLineChars="200"/>
        <w:rPr>
          <w:rFonts w:hint="eastAsia"/>
          <w:color w:val="000000"/>
          <w:sz w:val="24"/>
        </w:rPr>
      </w:pPr>
      <w:r>
        <w:rPr>
          <w:rFonts w:hint="eastAsia"/>
          <w:color w:val="000000"/>
          <w:sz w:val="24"/>
        </w:rPr>
        <w:t>题型及分数比例：名词解释占2</w:t>
      </w:r>
      <w:r>
        <w:rPr>
          <w:color w:val="000000"/>
          <w:sz w:val="24"/>
        </w:rPr>
        <w:t>0</w:t>
      </w:r>
      <w:r>
        <w:rPr>
          <w:rFonts w:hint="eastAsia"/>
          <w:color w:val="000000"/>
          <w:sz w:val="24"/>
        </w:rPr>
        <w:t>%，</w:t>
      </w:r>
      <w:r>
        <w:rPr>
          <w:color w:val="000000"/>
          <w:sz w:val="24"/>
        </w:rPr>
        <w:t>简答题</w:t>
      </w:r>
      <w:r>
        <w:rPr>
          <w:rFonts w:hint="eastAsia"/>
          <w:color w:val="000000"/>
          <w:sz w:val="24"/>
        </w:rPr>
        <w:t>占</w:t>
      </w:r>
      <w:r>
        <w:rPr>
          <w:color w:val="000000"/>
          <w:sz w:val="24"/>
        </w:rPr>
        <w:t>50%</w:t>
      </w:r>
      <w:r>
        <w:rPr>
          <w:rFonts w:hint="eastAsia"/>
          <w:color w:val="000000"/>
          <w:sz w:val="24"/>
        </w:rPr>
        <w:t>，计算分析、</w:t>
      </w:r>
      <w:r>
        <w:rPr>
          <w:color w:val="000000"/>
          <w:sz w:val="24"/>
        </w:rPr>
        <w:t>论述</w:t>
      </w:r>
      <w:r>
        <w:rPr>
          <w:rFonts w:hint="eastAsia"/>
          <w:color w:val="000000"/>
          <w:sz w:val="24"/>
        </w:rPr>
        <w:t>或综合分析</w:t>
      </w:r>
      <w:r>
        <w:rPr>
          <w:color w:val="000000"/>
          <w:sz w:val="24"/>
        </w:rPr>
        <w:t>题</w:t>
      </w:r>
      <w:r>
        <w:rPr>
          <w:rFonts w:hint="eastAsia"/>
          <w:color w:val="000000"/>
          <w:sz w:val="24"/>
        </w:rPr>
        <w:t>占</w:t>
      </w:r>
      <w:r>
        <w:rPr>
          <w:color w:val="000000"/>
          <w:sz w:val="24"/>
        </w:rPr>
        <w:t>30%</w:t>
      </w:r>
      <w:r>
        <w:rPr>
          <w:rFonts w:hint="eastAsia"/>
          <w:color w:val="000000"/>
          <w:sz w:val="24"/>
        </w:rPr>
        <w:t>。</w:t>
      </w:r>
    </w:p>
    <w:p>
      <w:pPr>
        <w:pStyle w:val="7"/>
        <w:spacing w:line="360" w:lineRule="auto"/>
      </w:pPr>
      <w:r>
        <w:rPr>
          <w:rFonts w:hint="eastAsia"/>
        </w:rPr>
        <w:t>四</w:t>
      </w:r>
      <w:r>
        <w:rPr>
          <w:b/>
        </w:rPr>
        <w:t>、</w:t>
      </w:r>
      <w:r>
        <w:rPr>
          <w:rStyle w:val="11"/>
        </w:rPr>
        <w:t>考试时间及方式</w:t>
      </w:r>
    </w:p>
    <w:p>
      <w:pPr>
        <w:pStyle w:val="7"/>
        <w:spacing w:line="360" w:lineRule="auto"/>
      </w:pPr>
      <w:r>
        <w:t>　　考试方式为</w:t>
      </w:r>
      <w:r>
        <w:rPr>
          <w:rFonts w:hint="eastAsia"/>
        </w:rPr>
        <w:t>闭卷</w:t>
      </w:r>
      <w:r>
        <w:t>笔试，时间为</w:t>
      </w:r>
      <w:r>
        <w:rPr>
          <w:rFonts w:hint="eastAsia"/>
        </w:rPr>
        <w:t>2</w:t>
      </w:r>
      <w:r>
        <w:t>小时。</w:t>
      </w:r>
    </w:p>
    <w:p>
      <w:pPr>
        <w:pStyle w:val="7"/>
        <w:spacing w:line="360" w:lineRule="auto"/>
      </w:pPr>
      <w:r>
        <w:rPr>
          <w:rFonts w:hint="eastAsia"/>
        </w:rPr>
        <w:t>五</w:t>
      </w:r>
      <w:r>
        <w:rPr>
          <w:b/>
        </w:rPr>
        <w:t>、</w:t>
      </w:r>
      <w:r>
        <w:rPr>
          <w:rStyle w:val="11"/>
        </w:rPr>
        <w:t>主要参考书</w:t>
      </w:r>
    </w:p>
    <w:p>
      <w:pPr>
        <w:spacing w:line="300" w:lineRule="auto"/>
        <w:ind w:firstLine="480" w:firstLineChars="200"/>
        <w:rPr>
          <w:sz w:val="24"/>
        </w:rPr>
      </w:pPr>
      <w:r>
        <w:rPr>
          <w:rFonts w:hint="eastAsia"/>
          <w:sz w:val="24"/>
        </w:rPr>
        <w:t>《环境监测》第五版，奚旦立主编，高等教育出版社，201</w:t>
      </w:r>
      <w:r>
        <w:rPr>
          <w:sz w:val="24"/>
        </w:rPr>
        <w:t>9</w:t>
      </w:r>
      <w:r>
        <w:rPr>
          <w:rFonts w:hint="eastAsia"/>
          <w:sz w:val="24"/>
        </w:rPr>
        <w:t>年</w:t>
      </w:r>
    </w:p>
    <w:p>
      <w:pPr>
        <w:spacing w:before="100" w:beforeAutospacing="1" w:after="100" w:afterAutospacing="1" w:line="360" w:lineRule="auto"/>
        <w:ind w:firstLine="425"/>
        <w:rPr>
          <w:rFonts w:hint="eastAsia"/>
          <w:sz w:val="24"/>
        </w:rPr>
      </w:pPr>
    </w:p>
    <w:p>
      <w:pPr>
        <w:spacing w:before="100" w:beforeAutospacing="1" w:after="100" w:afterAutospacing="1" w:line="360" w:lineRule="auto"/>
        <w:ind w:firstLine="425"/>
        <w:rPr>
          <w:rFonts w:hint="eastAsia"/>
          <w:sz w:val="24"/>
        </w:rPr>
      </w:pPr>
    </w:p>
    <w:sectPr>
      <w:footerReference r:id="rId3" w:type="default"/>
      <w:footerReference r:id="rId4" w:type="even"/>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lang/>
      </w:rPr>
      <w:t>5</w:t>
    </w:r>
    <w:r>
      <w:rPr>
        <w:rStyle w:val="12"/>
      </w:rPr>
      <w:fldChar w:fldCharType="end"/>
    </w:r>
  </w:p>
  <w:p>
    <w:pPr>
      <w:pStyle w:val="5"/>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65"/>
    <w:rsid w:val="00001B9B"/>
    <w:rsid w:val="00013FF3"/>
    <w:rsid w:val="000225A8"/>
    <w:rsid w:val="00034148"/>
    <w:rsid w:val="000533C6"/>
    <w:rsid w:val="000637BE"/>
    <w:rsid w:val="0007214D"/>
    <w:rsid w:val="0009109A"/>
    <w:rsid w:val="000A0551"/>
    <w:rsid w:val="000B124E"/>
    <w:rsid w:val="000C7B16"/>
    <w:rsid w:val="000E7A05"/>
    <w:rsid w:val="00120AC1"/>
    <w:rsid w:val="001369E1"/>
    <w:rsid w:val="001609BE"/>
    <w:rsid w:val="00170FF8"/>
    <w:rsid w:val="00184972"/>
    <w:rsid w:val="001944F2"/>
    <w:rsid w:val="001A3340"/>
    <w:rsid w:val="001C00E3"/>
    <w:rsid w:val="001D20C6"/>
    <w:rsid w:val="001F0FDA"/>
    <w:rsid w:val="001F730A"/>
    <w:rsid w:val="002141CA"/>
    <w:rsid w:val="00223861"/>
    <w:rsid w:val="00273EAB"/>
    <w:rsid w:val="002A28EA"/>
    <w:rsid w:val="002A5B2F"/>
    <w:rsid w:val="002A6031"/>
    <w:rsid w:val="002B7C0F"/>
    <w:rsid w:val="002C59ED"/>
    <w:rsid w:val="002E0A12"/>
    <w:rsid w:val="00306036"/>
    <w:rsid w:val="0034218E"/>
    <w:rsid w:val="0038739F"/>
    <w:rsid w:val="003969B5"/>
    <w:rsid w:val="003C03B2"/>
    <w:rsid w:val="003D2BC2"/>
    <w:rsid w:val="003F38DB"/>
    <w:rsid w:val="003F5136"/>
    <w:rsid w:val="003F6B63"/>
    <w:rsid w:val="00431D1D"/>
    <w:rsid w:val="004350E2"/>
    <w:rsid w:val="004364F0"/>
    <w:rsid w:val="004760D3"/>
    <w:rsid w:val="004875D3"/>
    <w:rsid w:val="004A3060"/>
    <w:rsid w:val="004E68D2"/>
    <w:rsid w:val="004F2205"/>
    <w:rsid w:val="004F56D6"/>
    <w:rsid w:val="005A5987"/>
    <w:rsid w:val="005B5EBB"/>
    <w:rsid w:val="005D7D2B"/>
    <w:rsid w:val="005E013F"/>
    <w:rsid w:val="0061194E"/>
    <w:rsid w:val="00630232"/>
    <w:rsid w:val="00640D8B"/>
    <w:rsid w:val="006602F2"/>
    <w:rsid w:val="00661586"/>
    <w:rsid w:val="00670299"/>
    <w:rsid w:val="00693C83"/>
    <w:rsid w:val="006949F8"/>
    <w:rsid w:val="006A731D"/>
    <w:rsid w:val="006C3647"/>
    <w:rsid w:val="006D7444"/>
    <w:rsid w:val="00705858"/>
    <w:rsid w:val="00720B7B"/>
    <w:rsid w:val="00724E5B"/>
    <w:rsid w:val="00737C07"/>
    <w:rsid w:val="00756F9A"/>
    <w:rsid w:val="00757635"/>
    <w:rsid w:val="00762740"/>
    <w:rsid w:val="00766C7B"/>
    <w:rsid w:val="007937A1"/>
    <w:rsid w:val="007B102B"/>
    <w:rsid w:val="007B4D34"/>
    <w:rsid w:val="007D5381"/>
    <w:rsid w:val="00826046"/>
    <w:rsid w:val="00830B30"/>
    <w:rsid w:val="008608A8"/>
    <w:rsid w:val="0086144A"/>
    <w:rsid w:val="00867D05"/>
    <w:rsid w:val="00870AB7"/>
    <w:rsid w:val="00883D9B"/>
    <w:rsid w:val="00884550"/>
    <w:rsid w:val="00886438"/>
    <w:rsid w:val="00893151"/>
    <w:rsid w:val="0089445C"/>
    <w:rsid w:val="008D3E91"/>
    <w:rsid w:val="009107C8"/>
    <w:rsid w:val="00914D48"/>
    <w:rsid w:val="00931655"/>
    <w:rsid w:val="00937400"/>
    <w:rsid w:val="00940B65"/>
    <w:rsid w:val="00962C35"/>
    <w:rsid w:val="00992586"/>
    <w:rsid w:val="009E6C26"/>
    <w:rsid w:val="009F0751"/>
    <w:rsid w:val="00A46631"/>
    <w:rsid w:val="00A51E94"/>
    <w:rsid w:val="00A65510"/>
    <w:rsid w:val="00A71815"/>
    <w:rsid w:val="00AA4043"/>
    <w:rsid w:val="00AB516A"/>
    <w:rsid w:val="00AD1E78"/>
    <w:rsid w:val="00AD23F8"/>
    <w:rsid w:val="00AF14F1"/>
    <w:rsid w:val="00AF5AD7"/>
    <w:rsid w:val="00B46E50"/>
    <w:rsid w:val="00B51823"/>
    <w:rsid w:val="00B61259"/>
    <w:rsid w:val="00B67999"/>
    <w:rsid w:val="00B85486"/>
    <w:rsid w:val="00B91FFF"/>
    <w:rsid w:val="00BB6A0F"/>
    <w:rsid w:val="00BC5EC6"/>
    <w:rsid w:val="00C01BE5"/>
    <w:rsid w:val="00C2478C"/>
    <w:rsid w:val="00C4630C"/>
    <w:rsid w:val="00CA06B8"/>
    <w:rsid w:val="00CF4C41"/>
    <w:rsid w:val="00CF544E"/>
    <w:rsid w:val="00D07977"/>
    <w:rsid w:val="00D25A58"/>
    <w:rsid w:val="00D8728C"/>
    <w:rsid w:val="00D97EAD"/>
    <w:rsid w:val="00DC146B"/>
    <w:rsid w:val="00DF31A8"/>
    <w:rsid w:val="00DF6414"/>
    <w:rsid w:val="00E11F74"/>
    <w:rsid w:val="00E24D82"/>
    <w:rsid w:val="00E321CD"/>
    <w:rsid w:val="00E44F34"/>
    <w:rsid w:val="00E47E54"/>
    <w:rsid w:val="00E6258E"/>
    <w:rsid w:val="00E66C65"/>
    <w:rsid w:val="00ED3B8F"/>
    <w:rsid w:val="00EE66FC"/>
    <w:rsid w:val="00EF0C9C"/>
    <w:rsid w:val="00EF3537"/>
    <w:rsid w:val="00F135B5"/>
    <w:rsid w:val="00F25189"/>
    <w:rsid w:val="00F41220"/>
    <w:rsid w:val="00F90C3A"/>
    <w:rsid w:val="18873E8E"/>
    <w:rsid w:val="271F2C09"/>
    <w:rsid w:val="44FA7BA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0">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Body Text Indent"/>
    <w:basedOn w:val="1"/>
    <w:link w:val="13"/>
    <w:uiPriority w:val="0"/>
    <w:pPr>
      <w:spacing w:after="120"/>
      <w:ind w:left="420" w:leftChars="200"/>
    </w:pPr>
  </w:style>
  <w:style w:type="paragraph" w:styleId="3">
    <w:name w:val="Date"/>
    <w:basedOn w:val="1"/>
    <w:next w:val="1"/>
    <w:uiPriority w:val="0"/>
    <w:pPr>
      <w:ind w:left="100" w:leftChars="2500"/>
    </w:pPr>
    <w:rPr>
      <w:sz w:val="28"/>
    </w:r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rPr>
  </w:style>
  <w:style w:type="table" w:styleId="9">
    <w:name w:val="Table Grid"/>
    <w:basedOn w:val="8"/>
    <w:uiPriority w:val="0"/>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bCs/>
    </w:rPr>
  </w:style>
  <w:style w:type="character" w:styleId="12">
    <w:name w:val="page number"/>
    <w:basedOn w:val="10"/>
    <w:uiPriority w:val="0"/>
  </w:style>
  <w:style w:type="character" w:customStyle="1" w:styleId="13">
    <w:name w:val="正文文本缩进 字符"/>
    <w:link w:val="2"/>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310</Words>
  <Characters>1773</Characters>
  <Lines>14</Lines>
  <Paragraphs>4</Paragraphs>
  <TotalTime>0</TotalTime>
  <ScaleCrop>false</ScaleCrop>
  <LinksUpToDate>false</LinksUpToDate>
  <CharactersWithSpaces>2079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2011-07-13T09:33:00Z</dcterms:created>
  <dc:creator>微软用户</dc:creator>
  <cp:lastModifiedBy>Administrator</cp:lastModifiedBy>
  <dcterms:modified xsi:type="dcterms:W3CDTF">2021-09-22T03:25:26Z</dcterms:modified>
  <dc:title>1、根据教育部文件规定“编制专业目录时，一般应对考试科目的内容范围做出说明，提倡不指定参考书目和参考资料”</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8F5D0B301ECF418CBF5B2C13CC858EFB</vt:lpwstr>
  </property>
</Properties>
</file>