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 w:line="300" w:lineRule="auto"/>
        <w:jc w:val="center"/>
        <w:rPr>
          <w:rFonts w:hint="eastAsia" w:asci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  <w:lang w:val="en-US" w:eastAsia="zh-CN"/>
        </w:rPr>
        <w:t>山东建筑大学</w:t>
      </w:r>
    </w:p>
    <w:p>
      <w:pPr>
        <w:pStyle w:val="8"/>
        <w:spacing w:before="0" w:beforeAutospacing="0" w:after="0" w:afterAutospacing="0" w:line="30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研究生入学考试</w:t>
      </w:r>
      <w:r>
        <w:rPr>
          <w:rFonts w:hint="eastAsia" w:ascii="黑体" w:eastAsia="黑体"/>
          <w:sz w:val="32"/>
          <w:szCs w:val="32"/>
        </w:rPr>
        <w:t>《 金融学 》考试大纲</w:t>
      </w:r>
    </w:p>
    <w:p>
      <w:pPr>
        <w:widowControl/>
        <w:snapToGrid w:val="0"/>
        <w:spacing w:line="300" w:lineRule="auto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一、基本内容</w:t>
      </w:r>
    </w:p>
    <w:p>
      <w:pPr>
        <w:widowControl/>
        <w:snapToGrid w:val="0"/>
        <w:spacing w:line="300" w:lineRule="auto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>1、货币与经济：</w:t>
      </w:r>
      <w:r>
        <w:rPr>
          <w:rFonts w:hint="eastAsia" w:ascii="仿宋_GB2312" w:hAnsi="宋体" w:eastAsia="仿宋_GB2312" w:cs="宋体"/>
          <w:kern w:val="0"/>
          <w:sz w:val="24"/>
        </w:rPr>
        <w:t>掌握</w:t>
      </w:r>
      <w:r>
        <w:rPr>
          <w:rFonts w:hint="eastAsia" w:ascii="仿宋_GB2312" w:hAnsi="_x000B_" w:eastAsia="仿宋_GB2312"/>
          <w:color w:val="000000"/>
          <w:sz w:val="24"/>
        </w:rPr>
        <w:t>货币的本质和货币的五大基本职能，</w:t>
      </w:r>
      <w:r>
        <w:rPr>
          <w:rFonts w:hint="eastAsia" w:ascii="仿宋_GB2312" w:hAnsi="宋体" w:eastAsia="仿宋_GB2312" w:cs="宋体"/>
          <w:kern w:val="0"/>
          <w:sz w:val="24"/>
        </w:rPr>
        <w:t>了解货币的起源。了解货币形态的演变，货币在经济中的作用。掌握信用货币，货币的计量。</w:t>
      </w:r>
    </w:p>
    <w:p>
      <w:pPr>
        <w:widowControl/>
        <w:snapToGrid w:val="0"/>
        <w:spacing w:line="300" w:lineRule="auto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2、货币制度：了解货币制度的基本构成要素，掌握本位币和辅币的基本概念及其特点。了解金银复本位制、金本位制、布雷顿森林体系和牙买加体系。掌握平行本位制和双本位制的概念及其存在的问题，格雷欣法则。</w:t>
      </w:r>
    </w:p>
    <w:p>
      <w:pPr>
        <w:snapToGrid w:val="0"/>
        <w:spacing w:line="30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3、信用与信用工具：了解信用的产生与发展，掌握信用的基本形式，包括商业信用、银行信用、国家信用和消费信用等。掌握各种基本信用形式的特点及其作用。了解各种信用工具及其应用。掌握汇票、本票、支票和信用卡等主要信用工具。</w:t>
      </w:r>
      <w:r>
        <w:rPr>
          <w:rFonts w:hint="eastAsia" w:ascii="仿宋_GB2312" w:hAnsi="宋体" w:eastAsia="仿宋_GB2312"/>
          <w:color w:val="000000"/>
          <w:sz w:val="24"/>
        </w:rPr>
        <w:t>了解信用风险的定义和特点。掌握信用风险的主要类型，避免信用风险的原则，信用危机的产生及其表现。</w:t>
      </w:r>
    </w:p>
    <w:p>
      <w:pPr>
        <w:widowControl/>
        <w:snapToGrid w:val="0"/>
        <w:spacing w:line="300" w:lineRule="auto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4、金融中介机构：了解我国的金融中介机构体系及其演变发展，掌握我国的政策性银行，投资基金的概念、类型。了解西方的金融机构体系。</w:t>
      </w:r>
    </w:p>
    <w:p>
      <w:pPr>
        <w:widowControl/>
        <w:snapToGrid w:val="0"/>
        <w:spacing w:line="300" w:lineRule="auto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5、金融市场及其功能：了解金融市场的概念、类型、基本功能，掌握金融市场的广度、深度和弹性。掌握直接融资和间接融资的概念，能够对不同的融资方式与金融工具进行正确的区分。掌握直接融资与间接融资各自的优缺点。掌握金融工具的特点，金融工具收益率的计算，不同类型有价证券的价格的计算。掌握有效市场理论的基本观点，正确区分强式有效市场、半强有效市场和弱有效市场。了解有效市场理论的含义及其应用，了解行为金融理论的基本观点。</w:t>
      </w:r>
    </w:p>
    <w:p>
      <w:pPr>
        <w:widowControl/>
        <w:snapToGrid w:val="0"/>
        <w:spacing w:line="300" w:lineRule="auto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6、利率理论：了解利息的本质与产生，掌握利息的计算方法及其应用，了解利率的种类及其划分，决定和影响利率的因素。掌握利率通过储蓄、投资、国际收支和物价影响经济的途径。了解古典利率理论和自然利率，可贷资金理论，IS-LM模型分析的利率理论。掌握流动性偏好理论和流动性陷阱，了解利率的期限结构理论，包括预期假说、市场分割理论和期限选择理论。能够运用这些理论对未来利率走势进行基本的判断。了解我国的利率体制的演变，利率改革的原因，了解我国利率体制改革的进程。</w:t>
      </w:r>
    </w:p>
    <w:p>
      <w:pPr>
        <w:widowControl/>
        <w:snapToGrid w:val="0"/>
        <w:spacing w:line="300" w:lineRule="auto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7、资本市场：了解资本市场的概念，主要特点，掌握资本一级市场和二级市场的概念及其相互关系,了解新证券的发行，证券交易所的功能及其交易方式。</w:t>
      </w:r>
    </w:p>
    <w:p>
      <w:pPr>
        <w:widowControl/>
        <w:snapToGrid w:val="0"/>
        <w:spacing w:line="300" w:lineRule="auto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8、货币市场：了解同业拆借市场的形成、主要交易类型及其运作程序。掌握同业拆借市场的概念、期限及利率。了解我国的同业拆借市场的发展历程及现状。了解票据贴现的种类和一般程序。掌握票据贴现的期限和贴现率。了解可转让大额定期存单市场的产生，种类和发行方式。掌握CDs的价格决定，收益与风险。掌握回购协议的定义、收益与风险。了解回购市场的组织结构，我国的回购市场的发展历程。</w:t>
      </w:r>
    </w:p>
    <w:p>
      <w:pPr>
        <w:widowControl/>
        <w:snapToGrid w:val="0"/>
        <w:spacing w:line="300" w:lineRule="auto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9、金融衍生品交易市场：期货的定义和基本功能，期货的基本操作原理，了解期货的种类、交易程序。掌握期权、看涨期权和看跌期权的概念、基本操作原理，能够用图示和公式进行盈亏分析。了解期权的分类、价格，了解互换的产生与发展，了解互换交易的原理和种类、互换的风险。</w:t>
      </w:r>
    </w:p>
    <w:p>
      <w:pPr>
        <w:widowControl/>
        <w:snapToGrid w:val="0"/>
        <w:spacing w:line="300" w:lineRule="auto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10、商业银行概述：了解单一银行制、分支行制、持股公司制和连锁银行制等组织体制，我国的商业银行的组织体制，掌握职能分工型和全能型商业银行。了解商业银行资产负债表的作用与特点，基本内容。</w:t>
      </w:r>
    </w:p>
    <w:p>
      <w:pPr>
        <w:widowControl/>
        <w:snapToGrid w:val="0"/>
        <w:spacing w:line="300" w:lineRule="auto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11、商业银行业务：了解商业银行负债的概念和作用，掌握商业银行自有资本的作用，资本充足率的概念，掌握存款负债业务，尤其是活期存款、定期存款和储蓄存款。了解商业银行资产业务的概念和作用，掌握商业银行主要资产业务种类，包括现金资产、贴现、贷款和证券投资。掌握中间业务和表外业务的概念，作用，以及商业银行盈利模式的转变，了解商业银行的主要中间业务和表外业务。</w:t>
      </w:r>
    </w:p>
    <w:p>
      <w:pPr>
        <w:widowControl/>
        <w:snapToGrid w:val="0"/>
        <w:spacing w:line="300" w:lineRule="auto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12、商业银行经营管理理论：了解商业银行的“三性原则”及其相互关系，掌握商业银行的流动性管理。了解商业贷款理论、资产转换理论和预期收入理论的主要思想，了解银行券理论、存款理论和购买理论的主要思想，了解资产负债综合管理论的主要思想。</w:t>
      </w:r>
    </w:p>
    <w:p>
      <w:pPr>
        <w:widowControl/>
        <w:snapToGrid w:val="0"/>
        <w:spacing w:line="300" w:lineRule="auto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13、中央银行的地位与职能：了解中央银行的产生与发展，掌握中央银行的三大职能，了解中央银行的支付清算系统。</w:t>
      </w:r>
    </w:p>
    <w:p>
      <w:pPr>
        <w:widowControl/>
        <w:snapToGrid w:val="0"/>
        <w:spacing w:line="300" w:lineRule="auto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14、货币需求理论：了解货币需求的含义与测量，西方货币需求理论，现金交易说和现金余额说的公式及其含义，掌握凯恩斯的流动性偏好理论，了解凯恩斯学派对货币需求理论的发展，了解弗里德曼的货币需求理论。</w:t>
      </w:r>
    </w:p>
    <w:p>
      <w:pPr>
        <w:widowControl/>
        <w:snapToGrid w:val="0"/>
        <w:spacing w:line="300" w:lineRule="auto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15、货币供给理论：掌握基础货币及其投放渠道；派生存款的创造过程，掌握货币乘数和货币供给的基本模型。</w:t>
      </w:r>
    </w:p>
    <w:p>
      <w:pPr>
        <w:widowControl/>
        <w:snapToGrid w:val="0"/>
        <w:spacing w:line="300" w:lineRule="auto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16、通货膨胀与通货紧缩：掌握通货膨胀的定义和度量指标，能够对通货膨胀做出准确的判断，了解通货膨胀的成因。了解通货膨胀对产出、就业和收入分配的影响，掌握菲利普斯曲线的含义。了解通货紧缩及其影响。了解通货膨胀和紧缩的治理对策。</w:t>
      </w:r>
    </w:p>
    <w:p>
      <w:pPr>
        <w:widowControl/>
        <w:snapToGrid w:val="0"/>
        <w:spacing w:line="300" w:lineRule="auto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17、货币政策：了解货币政策的最终目标、操作目标、中介目标。掌握货币政策三大工具的作用机制及其效果，了解选择性货币政策工具的内容。掌握凯恩斯的利率传导机制，了解其他学者提出的利率传导机制，信贷配给传导机制和汇率传导机制。</w:t>
      </w:r>
    </w:p>
    <w:p>
      <w:pPr>
        <w:widowControl/>
        <w:snapToGrid w:val="0"/>
        <w:spacing w:line="300" w:lineRule="auto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18、外汇与汇率：可兑换与不完全可兑换，我国的外汇管理和人民币可兑换问题，汇率的概念、汇率的标价方法，汇率的分类，汇率与币值、汇率与利率，国际借贷说，购买力平价说，货币分析说，金融资产说，汇率的作用与风险。</w:t>
      </w:r>
    </w:p>
    <w:p>
      <w:pPr>
        <w:widowControl/>
        <w:spacing w:line="300" w:lineRule="auto"/>
        <w:jc w:val="left"/>
        <w:rPr>
          <w:rFonts w:hint="eastAsia"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二、参考书目</w:t>
      </w:r>
    </w:p>
    <w:p>
      <w:pPr>
        <w:widowControl/>
        <w:spacing w:after="156" w:afterLines="50" w:line="300" w:lineRule="auto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黄达《金融学》（精编版）北京：中国人民大学出版社。</w:t>
      </w:r>
    </w:p>
    <w:sectPr>
      <w:headerReference r:id="rId3" w:type="default"/>
      <w:footerReference r:id="rId4" w:type="default"/>
      <w:footerReference r:id="rId5" w:type="even"/>
      <w:pgSz w:w="11906" w:h="16838"/>
      <w:pgMar w:top="1091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_x000B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  <w:lang/>
      </w:rPr>
      <w:t>2</w:t>
    </w:r>
    <w:r>
      <w:rPr>
        <w:rStyle w:val="14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left"/>
    </w:pPr>
    <w:r>
      <w:rPr>
        <w:rFonts w:hint="eastAsia"/>
      </w:rPr>
      <w:t xml:space="preserve">《金融学》·考试大纲                                                     山东建筑大学商学院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23"/>
    <w:rsid w:val="0003094A"/>
    <w:rsid w:val="000339A8"/>
    <w:rsid w:val="000359DD"/>
    <w:rsid w:val="00076505"/>
    <w:rsid w:val="000E7AB1"/>
    <w:rsid w:val="00111CBD"/>
    <w:rsid w:val="00113E01"/>
    <w:rsid w:val="0014512B"/>
    <w:rsid w:val="001823D4"/>
    <w:rsid w:val="0019600B"/>
    <w:rsid w:val="001B101A"/>
    <w:rsid w:val="001C0C6E"/>
    <w:rsid w:val="001D1323"/>
    <w:rsid w:val="001E41C9"/>
    <w:rsid w:val="00207A37"/>
    <w:rsid w:val="00231CB4"/>
    <w:rsid w:val="00247FD4"/>
    <w:rsid w:val="00271132"/>
    <w:rsid w:val="002B0894"/>
    <w:rsid w:val="002C480A"/>
    <w:rsid w:val="002C54A5"/>
    <w:rsid w:val="0033132E"/>
    <w:rsid w:val="0038047E"/>
    <w:rsid w:val="00380ABD"/>
    <w:rsid w:val="003976BE"/>
    <w:rsid w:val="003B0AE8"/>
    <w:rsid w:val="003F0674"/>
    <w:rsid w:val="003F4035"/>
    <w:rsid w:val="0040129C"/>
    <w:rsid w:val="004130FE"/>
    <w:rsid w:val="00416B62"/>
    <w:rsid w:val="00446D94"/>
    <w:rsid w:val="00462323"/>
    <w:rsid w:val="004A7A37"/>
    <w:rsid w:val="004F707F"/>
    <w:rsid w:val="00517F37"/>
    <w:rsid w:val="0053084C"/>
    <w:rsid w:val="00540D08"/>
    <w:rsid w:val="0055453C"/>
    <w:rsid w:val="00555AE0"/>
    <w:rsid w:val="005825F0"/>
    <w:rsid w:val="005826AA"/>
    <w:rsid w:val="00583D84"/>
    <w:rsid w:val="00594E86"/>
    <w:rsid w:val="005C133F"/>
    <w:rsid w:val="005F13C4"/>
    <w:rsid w:val="00607993"/>
    <w:rsid w:val="006171E9"/>
    <w:rsid w:val="006337D0"/>
    <w:rsid w:val="006576D4"/>
    <w:rsid w:val="006849D9"/>
    <w:rsid w:val="006B230C"/>
    <w:rsid w:val="006B7667"/>
    <w:rsid w:val="006E4103"/>
    <w:rsid w:val="006F00AC"/>
    <w:rsid w:val="006F1059"/>
    <w:rsid w:val="006F6BA7"/>
    <w:rsid w:val="007A7A31"/>
    <w:rsid w:val="007B3833"/>
    <w:rsid w:val="007B4F37"/>
    <w:rsid w:val="007F3E99"/>
    <w:rsid w:val="008274E5"/>
    <w:rsid w:val="008617F7"/>
    <w:rsid w:val="00886386"/>
    <w:rsid w:val="00893383"/>
    <w:rsid w:val="008A0776"/>
    <w:rsid w:val="008B171C"/>
    <w:rsid w:val="008E1870"/>
    <w:rsid w:val="009113A2"/>
    <w:rsid w:val="0091719D"/>
    <w:rsid w:val="00976DE1"/>
    <w:rsid w:val="00985729"/>
    <w:rsid w:val="00986046"/>
    <w:rsid w:val="009C54D0"/>
    <w:rsid w:val="00A077EC"/>
    <w:rsid w:val="00A16D46"/>
    <w:rsid w:val="00A27F5D"/>
    <w:rsid w:val="00A3046E"/>
    <w:rsid w:val="00A36277"/>
    <w:rsid w:val="00A42860"/>
    <w:rsid w:val="00A52ED2"/>
    <w:rsid w:val="00A576FD"/>
    <w:rsid w:val="00A71E04"/>
    <w:rsid w:val="00A81D6A"/>
    <w:rsid w:val="00A81DB2"/>
    <w:rsid w:val="00A81F60"/>
    <w:rsid w:val="00A87832"/>
    <w:rsid w:val="00AB456D"/>
    <w:rsid w:val="00AD7D3D"/>
    <w:rsid w:val="00AE3634"/>
    <w:rsid w:val="00B04640"/>
    <w:rsid w:val="00B37023"/>
    <w:rsid w:val="00B42BEE"/>
    <w:rsid w:val="00B80CC3"/>
    <w:rsid w:val="00B94034"/>
    <w:rsid w:val="00BB2E16"/>
    <w:rsid w:val="00C1793C"/>
    <w:rsid w:val="00C24CB4"/>
    <w:rsid w:val="00C2726A"/>
    <w:rsid w:val="00C35C1E"/>
    <w:rsid w:val="00C622C3"/>
    <w:rsid w:val="00C6791B"/>
    <w:rsid w:val="00C811B8"/>
    <w:rsid w:val="00C94435"/>
    <w:rsid w:val="00CC7A19"/>
    <w:rsid w:val="00CE00B0"/>
    <w:rsid w:val="00CE1F3C"/>
    <w:rsid w:val="00D01615"/>
    <w:rsid w:val="00D01D48"/>
    <w:rsid w:val="00D3598C"/>
    <w:rsid w:val="00D67698"/>
    <w:rsid w:val="00D84AFB"/>
    <w:rsid w:val="00D93369"/>
    <w:rsid w:val="00DD6186"/>
    <w:rsid w:val="00E07D7C"/>
    <w:rsid w:val="00E2361B"/>
    <w:rsid w:val="00E27462"/>
    <w:rsid w:val="00E34ADE"/>
    <w:rsid w:val="00E45B94"/>
    <w:rsid w:val="00E726B7"/>
    <w:rsid w:val="00EA2F07"/>
    <w:rsid w:val="00EB43E8"/>
    <w:rsid w:val="00ED5171"/>
    <w:rsid w:val="00F00A85"/>
    <w:rsid w:val="00F00B90"/>
    <w:rsid w:val="00F10328"/>
    <w:rsid w:val="00F13563"/>
    <w:rsid w:val="00F16B95"/>
    <w:rsid w:val="00F214FE"/>
    <w:rsid w:val="00F56FAD"/>
    <w:rsid w:val="00F71F37"/>
    <w:rsid w:val="00F917D4"/>
    <w:rsid w:val="00FA44FC"/>
    <w:rsid w:val="00FB3491"/>
    <w:rsid w:val="00FE6C12"/>
    <w:rsid w:val="00FF231E"/>
    <w:rsid w:val="00FF5BC4"/>
    <w:rsid w:val="15424988"/>
    <w:rsid w:val="4B48198A"/>
    <w:rsid w:val="649012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00" w:lineRule="auto"/>
      <w:ind w:left="420"/>
    </w:pPr>
    <w:rPr>
      <w:rFonts w:ascii="宋体" w:hAnsi="宋体"/>
      <w:sz w:val="24"/>
      <w:szCs w:val="20"/>
    </w:r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ody Text Indent 2"/>
    <w:basedOn w:val="1"/>
    <w:uiPriority w:val="0"/>
    <w:pPr>
      <w:spacing w:line="300" w:lineRule="auto"/>
      <w:ind w:firstLine="420" w:firstLineChars="175"/>
    </w:pPr>
    <w:rPr>
      <w:rFonts w:ascii="宋体" w:hAnsi="宋体"/>
      <w:sz w:val="24"/>
      <w:szCs w:val="20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华文新魏" w:cs="Arial"/>
      <w:b/>
      <w:bCs/>
      <w:sz w:val="44"/>
      <w:szCs w:val="32"/>
    </w:rPr>
  </w:style>
  <w:style w:type="table" w:styleId="11">
    <w:name w:val="Table Grid"/>
    <w:basedOn w:val="10"/>
    <w:uiPriority w:val="0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323</Words>
  <Characters>1843</Characters>
  <Lines>15</Lines>
  <Paragraphs>4</Paragraphs>
  <TotalTime>0</TotalTime>
  <ScaleCrop>false</ScaleCrop>
  <LinksUpToDate>false</LinksUpToDate>
  <CharactersWithSpaces>2162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2007-04-01T12:56:00Z</dcterms:created>
  <dc:creator>微软用户</dc:creator>
  <cp:lastModifiedBy>Administrator</cp:lastModifiedBy>
  <cp:lastPrinted>2007-04-02T08:40:00Z</cp:lastPrinted>
  <dcterms:modified xsi:type="dcterms:W3CDTF">2021-09-22T03:25:07Z</dcterms:modified>
  <dc:title>商学院进阶段关于完善本科教学水平</dc:title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5BA3D981205C432B83BDD9FCA7BFD824</vt:lpwstr>
  </property>
</Properties>
</file>