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202</w:t>
      </w: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</w:rPr>
        <w:t>年硕士研究生自命题科目考试大纲</w:t>
      </w:r>
    </w:p>
    <w:p>
      <w:pPr>
        <w:spacing w:line="400" w:lineRule="exact"/>
        <w:jc w:val="center"/>
        <w:rPr>
          <w:rFonts w:hint="eastAsia"/>
          <w:b/>
          <w:bCs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6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  <w:tcBorders>
              <w:right w:val="single" w:color="auto" w:sz="6" w:space="0"/>
            </w:tcBorders>
          </w:tcPr>
          <w:p>
            <w:pPr>
              <w:spacing w:line="400" w:lineRule="exact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科目代码、科目名称</w:t>
            </w:r>
          </w:p>
        </w:tc>
        <w:tc>
          <w:tcPr>
            <w:tcW w:w="6556" w:type="dxa"/>
            <w:tcBorders>
              <w:left w:val="single" w:color="auto" w:sz="6" w:space="0"/>
            </w:tcBorders>
          </w:tcPr>
          <w:p>
            <w:pPr>
              <w:spacing w:line="400" w:lineRule="exact"/>
              <w:jc w:val="left"/>
              <w:rPr>
                <w:rFonts w:hint="eastAsia"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881　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一、基本内容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（一）总论</w:t>
            </w:r>
            <w:r>
              <w:rPr>
                <w:rFonts w:ascii="楷体" w:hAnsi="楷体" w:eastAsia="楷体"/>
                <w:bCs/>
                <w:sz w:val="18"/>
                <w:szCs w:val="18"/>
              </w:rPr>
              <w:t>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  <w:sz w:val="18"/>
                <w:szCs w:val="18"/>
              </w:rPr>
            </w:pPr>
            <w:r>
              <w:rPr>
                <w:rFonts w:ascii="楷体" w:hAnsi="楷体" w:eastAsia="楷体"/>
                <w:bCs/>
                <w:sz w:val="18"/>
                <w:szCs w:val="18"/>
              </w:rPr>
              <w:t>1.</w:t>
            </w: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管理活动</w:t>
            </w:r>
            <w:r>
              <w:rPr>
                <w:rFonts w:ascii="楷体" w:hAnsi="楷体" w:eastAsia="楷体"/>
                <w:bCs/>
                <w:sz w:val="18"/>
                <w:szCs w:val="18"/>
              </w:rPr>
              <w:t> </w:t>
            </w: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管理的概念、管理的职能与性质、管理者的角色与技能。</w:t>
            </w:r>
            <w:r>
              <w:rPr>
                <w:rFonts w:ascii="楷体" w:hAnsi="楷体" w:eastAsia="楷体"/>
                <w:bCs/>
                <w:sz w:val="18"/>
                <w:szCs w:val="18"/>
              </w:rPr>
              <w:t>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  <w:sz w:val="18"/>
                <w:szCs w:val="18"/>
              </w:rPr>
            </w:pPr>
            <w:r>
              <w:rPr>
                <w:rFonts w:ascii="楷体" w:hAnsi="楷体" w:eastAsia="楷体"/>
                <w:bCs/>
                <w:sz w:val="18"/>
                <w:szCs w:val="18"/>
              </w:rPr>
              <w:t>2.</w:t>
            </w: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管理理论的形成与发展</w:t>
            </w:r>
            <w:r>
              <w:rPr>
                <w:rFonts w:ascii="楷体" w:hAnsi="楷体" w:eastAsia="楷体"/>
                <w:bCs/>
                <w:sz w:val="18"/>
                <w:szCs w:val="18"/>
              </w:rPr>
              <w:t> </w:t>
            </w: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泰罗的科学管理理论主要观点、内容与评价，法约尔组织管理理论的主要观点，韦伯的“理想的行政组织体系”理论，梅奥人际关系学说的主要观点，行为科学学派的主要理论。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  <w:sz w:val="18"/>
                <w:szCs w:val="18"/>
              </w:rPr>
            </w:pPr>
            <w:r>
              <w:rPr>
                <w:rFonts w:ascii="楷体" w:hAnsi="楷体" w:eastAsia="楷体"/>
                <w:bCs/>
                <w:sz w:val="18"/>
                <w:szCs w:val="18"/>
              </w:rPr>
              <w:t>3.</w:t>
            </w: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信息及其特征　信息的定义，有用信息的特征。</w:t>
            </w:r>
            <w:r>
              <w:rPr>
                <w:rFonts w:ascii="楷体" w:hAnsi="楷体" w:eastAsia="楷体"/>
                <w:bCs/>
                <w:sz w:val="18"/>
                <w:szCs w:val="18"/>
              </w:rPr>
              <w:t>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（二）决策与计划</w:t>
            </w:r>
            <w:r>
              <w:rPr>
                <w:rFonts w:ascii="楷体" w:hAnsi="楷体" w:eastAsia="楷体"/>
                <w:bCs/>
                <w:sz w:val="18"/>
                <w:szCs w:val="18"/>
              </w:rPr>
              <w:t>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  <w:sz w:val="18"/>
                <w:szCs w:val="18"/>
              </w:rPr>
            </w:pPr>
            <w:r>
              <w:rPr>
                <w:rFonts w:ascii="楷体" w:hAnsi="楷体" w:eastAsia="楷体"/>
                <w:bCs/>
                <w:sz w:val="18"/>
                <w:szCs w:val="18"/>
              </w:rPr>
              <w:t>1.</w:t>
            </w: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决策与决策方法</w:t>
            </w:r>
            <w:r>
              <w:rPr>
                <w:rFonts w:ascii="楷体" w:hAnsi="楷体" w:eastAsia="楷体"/>
                <w:bCs/>
                <w:sz w:val="18"/>
                <w:szCs w:val="18"/>
              </w:rPr>
              <w:t> </w:t>
            </w: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决策的定义、原则、类型与特点，古典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决策理论的主要观点，行为决策理论的主要观点及内容，决策的过程与影响因素，决策的方法。</w:t>
            </w:r>
            <w:r>
              <w:rPr>
                <w:rFonts w:ascii="楷体" w:hAnsi="楷体" w:eastAsia="楷体"/>
                <w:bCs/>
                <w:sz w:val="18"/>
                <w:szCs w:val="18"/>
              </w:rPr>
              <w:t>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  <w:sz w:val="18"/>
                <w:szCs w:val="18"/>
              </w:rPr>
            </w:pPr>
            <w:r>
              <w:rPr>
                <w:rFonts w:ascii="楷体" w:hAnsi="楷体" w:eastAsia="楷体"/>
                <w:bCs/>
                <w:sz w:val="18"/>
                <w:szCs w:val="18"/>
              </w:rPr>
              <w:t>2.</w:t>
            </w: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计划与计划工作</w:t>
            </w:r>
            <w:r>
              <w:rPr>
                <w:rFonts w:ascii="楷体" w:hAnsi="楷体" w:eastAsia="楷体"/>
                <w:bCs/>
                <w:sz w:val="18"/>
                <w:szCs w:val="18"/>
              </w:rPr>
              <w:t> </w:t>
            </w: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计划的概念和内容，计划的性质，计划的类型，计划的层次体系。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hint="eastAsia" w:ascii="楷体" w:hAnsi="楷体" w:eastAsia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3.战略性计划与计划实施　战略环境分析，战略性计划选择，计划的组织实施，计划的编制，目标管理，滚动计划法。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（三）组织</w:t>
            </w:r>
            <w:r>
              <w:rPr>
                <w:rFonts w:ascii="楷体" w:hAnsi="楷体" w:eastAsia="楷体"/>
                <w:bCs/>
                <w:sz w:val="18"/>
                <w:szCs w:val="18"/>
              </w:rPr>
              <w:t>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  <w:sz w:val="18"/>
                <w:szCs w:val="18"/>
              </w:rPr>
            </w:pPr>
            <w:r>
              <w:rPr>
                <w:rFonts w:ascii="楷体" w:hAnsi="楷体" w:eastAsia="楷体"/>
                <w:bCs/>
                <w:sz w:val="18"/>
                <w:szCs w:val="18"/>
              </w:rPr>
              <w:t>1.</w:t>
            </w: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组织与组织设计</w:t>
            </w:r>
            <w:r>
              <w:rPr>
                <w:rFonts w:ascii="楷体" w:hAnsi="楷体" w:eastAsia="楷体"/>
                <w:bCs/>
                <w:sz w:val="18"/>
                <w:szCs w:val="18"/>
              </w:rPr>
              <w:t> </w:t>
            </w: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组织设计的任务和原则，组织设计的影响因素。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hint="eastAsia" w:ascii="楷体" w:hAnsi="楷体" w:eastAsia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2.组织的部门化　组织部门化的基本原则，组织部门化的基本形式。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hint="eastAsia" w:ascii="楷体" w:hAnsi="楷体" w:eastAsia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3.组织的层级化　组织的层级化与管理幅度，管理幅度与管理层次，影响管理幅度的因素，组织层级与管理幅度的关系，权力的性质与特征，集权的弊端，分权的标志、影响因素及途径，授权的含义，有效授权的要素、原则。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hint="eastAsia" w:ascii="楷体" w:hAnsi="楷体" w:eastAsia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4.人力资源管理　人力资源计划，员工的招聘与解聘，员工培训，绩效评估。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  <w:sz w:val="18"/>
                <w:szCs w:val="18"/>
              </w:rPr>
            </w:pPr>
            <w:r>
              <w:rPr>
                <w:rFonts w:ascii="楷体" w:hAnsi="楷体" w:eastAsia="楷体"/>
                <w:bCs/>
                <w:sz w:val="18"/>
                <w:szCs w:val="18"/>
              </w:rPr>
              <w:t>5</w:t>
            </w: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.组织变革与组织文化</w:t>
            </w:r>
            <w:r>
              <w:rPr>
                <w:rFonts w:ascii="楷体" w:hAnsi="楷体" w:eastAsia="楷体"/>
                <w:bCs/>
                <w:sz w:val="18"/>
                <w:szCs w:val="18"/>
              </w:rPr>
              <w:t> </w:t>
            </w: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组织变革的含义与动因，组织变革的类型和目标，组织变革的过程与程序，组织变革的阻力及其管理对策，压力与冲突的定义，组织冲突的影响，建设性冲突与破坏性冲突，组织文化的定义与特征，组织文化的结构与内容，组织文化功能与塑造。</w:t>
            </w:r>
            <w:r>
              <w:rPr>
                <w:rFonts w:ascii="楷体" w:hAnsi="楷体" w:eastAsia="楷体"/>
                <w:bCs/>
                <w:sz w:val="18"/>
                <w:szCs w:val="18"/>
              </w:rPr>
              <w:t>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hint="eastAsia" w:ascii="楷体" w:hAnsi="楷体" w:eastAsia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（四）领导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  <w:sz w:val="18"/>
                <w:szCs w:val="18"/>
              </w:rPr>
            </w:pPr>
            <w:r>
              <w:rPr>
                <w:rFonts w:ascii="楷体" w:hAnsi="楷体" w:eastAsia="楷体"/>
                <w:bCs/>
                <w:sz w:val="18"/>
                <w:szCs w:val="18"/>
              </w:rPr>
              <w:t>1.</w:t>
            </w: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领导概论</w:t>
            </w:r>
            <w:r>
              <w:rPr>
                <w:rFonts w:ascii="楷体" w:hAnsi="楷体" w:eastAsia="楷体"/>
                <w:bCs/>
                <w:sz w:val="18"/>
                <w:szCs w:val="18"/>
              </w:rPr>
              <w:t> </w:t>
            </w: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领导的含义与作用，领导方式的基本类型，管理方格论，领导情景论。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  <w:sz w:val="18"/>
                <w:szCs w:val="18"/>
              </w:rPr>
            </w:pPr>
            <w:r>
              <w:rPr>
                <w:rFonts w:ascii="楷体" w:hAnsi="楷体" w:eastAsia="楷体"/>
                <w:bCs/>
                <w:sz w:val="18"/>
                <w:szCs w:val="18"/>
              </w:rPr>
              <w:t>2.</w:t>
            </w: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激励</w:t>
            </w:r>
            <w:r>
              <w:rPr>
                <w:rFonts w:ascii="楷体" w:hAnsi="楷体" w:eastAsia="楷体"/>
                <w:bCs/>
                <w:sz w:val="18"/>
                <w:szCs w:val="18"/>
              </w:rPr>
              <w:t> </w:t>
            </w: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激励的概念，需要层次理论，双因素理论，公平理论，期望理论，强化理论。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  <w:sz w:val="18"/>
                <w:szCs w:val="18"/>
              </w:rPr>
            </w:pPr>
            <w:r>
              <w:rPr>
                <w:rFonts w:ascii="楷体" w:hAnsi="楷体" w:eastAsia="楷体"/>
                <w:bCs/>
                <w:sz w:val="18"/>
                <w:szCs w:val="18"/>
              </w:rPr>
              <w:t>3.</w:t>
            </w: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沟通</w:t>
            </w:r>
            <w:r>
              <w:rPr>
                <w:rFonts w:ascii="楷体" w:hAnsi="楷体" w:eastAsia="楷体"/>
                <w:bCs/>
                <w:sz w:val="18"/>
                <w:szCs w:val="18"/>
              </w:rPr>
              <w:t> </w:t>
            </w: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沟通的概念，沟通过程，沟通的类别，非正式沟通的特点，有效沟通的障碍及克服。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hint="eastAsia" w:ascii="楷体" w:hAnsi="楷体" w:eastAsia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（五）控制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hint="eastAsia" w:ascii="楷体" w:hAnsi="楷体" w:eastAsia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控制与控制过程　控制的概念与作用，控制的类型，控制的要求，控制过程。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hint="eastAsia" w:ascii="楷体" w:hAnsi="楷体" w:eastAsia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（六）创新</w:t>
            </w:r>
          </w:p>
          <w:p>
            <w:pPr>
              <w:spacing w:line="400" w:lineRule="exact"/>
              <w:jc w:val="left"/>
              <w:rPr>
                <w:rFonts w:hint="eastAsia"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管理的创新职能　创新及其作用，创新与维持的关系及其作用，创新职能的基本内容，创新过程及其管理。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二、考试要求（包括题型、分数比例、是否使用计算器等）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hint="eastAsia" w:ascii="楷体" w:hAnsi="楷体" w:eastAsia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1.名词解释（共5题，每题5分，共计25分）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hint="eastAsia" w:ascii="楷体" w:hAnsi="楷体" w:eastAsia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2.简答题（共5题，每题8分，共计40分）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hint="eastAsia" w:ascii="楷体" w:hAnsi="楷体" w:eastAsia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3.论述题（共4题，每题15分，共计60分）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hint="eastAsia" w:ascii="楷体" w:hAnsi="楷体" w:eastAsia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4.案例分析题（共1题，每题25分，共计25分）</w:t>
            </w:r>
          </w:p>
          <w:p>
            <w:pPr>
              <w:spacing w:line="400" w:lineRule="exact"/>
              <w:jc w:val="left"/>
              <w:rPr>
                <w:rFonts w:hint="eastAsia"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注：不需使用计算器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三、主要参考书目</w:t>
            </w:r>
          </w:p>
          <w:p>
            <w:pPr>
              <w:spacing w:line="400" w:lineRule="exact"/>
              <w:jc w:val="left"/>
              <w:rPr>
                <w:rFonts w:hint="eastAsia"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《管理学》(第四版)，周三多主编，高等教育出版社，2014。</w:t>
            </w:r>
          </w:p>
        </w:tc>
      </w:tr>
    </w:tbl>
    <w:p>
      <w:pPr>
        <w:spacing w:line="400" w:lineRule="exact"/>
        <w:jc w:val="center"/>
        <w:rPr>
          <w:rFonts w:hint="eastAsia"/>
          <w:b/>
          <w:bCs/>
        </w:rPr>
      </w:pPr>
    </w:p>
    <w:p>
      <w:pPr>
        <w:spacing w:line="400" w:lineRule="exact"/>
        <w:jc w:val="center"/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D0"/>
    <w:rsid w:val="00034858"/>
    <w:rsid w:val="000C38D9"/>
    <w:rsid w:val="001B4874"/>
    <w:rsid w:val="0020345F"/>
    <w:rsid w:val="0033398A"/>
    <w:rsid w:val="003926D0"/>
    <w:rsid w:val="005638BF"/>
    <w:rsid w:val="005C2F11"/>
    <w:rsid w:val="006B5D30"/>
    <w:rsid w:val="008D6FD7"/>
    <w:rsid w:val="009D2DA8"/>
    <w:rsid w:val="009D5E96"/>
    <w:rsid w:val="009E5F68"/>
    <w:rsid w:val="00B26FC8"/>
    <w:rsid w:val="00F01F38"/>
    <w:rsid w:val="00FB524E"/>
    <w:rsid w:val="127434A2"/>
    <w:rsid w:val="169A528A"/>
    <w:rsid w:val="2C521728"/>
    <w:rsid w:val="3D562A9A"/>
    <w:rsid w:val="5D43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Theme="minorEastAsia" w:cstheme="minorBidi"/>
    </w:rPr>
  </w:style>
  <w:style w:type="paragraph" w:styleId="6">
    <w:name w:val="Normal (Web)"/>
    <w:basedOn w:val="1"/>
    <w:unhideWhenUsed/>
    <w:uiPriority w:val="99"/>
    <w:rPr>
      <w:rFonts w:eastAsia="宋体"/>
      <w:szCs w:val="20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basedOn w:val="9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HTML 预设格式 Char"/>
    <w:link w:val="5"/>
    <w:qFormat/>
    <w:uiPriority w:val="0"/>
    <w:rPr>
      <w:rFonts w:ascii="宋体" w:hAnsi="宋体"/>
      <w:sz w:val="24"/>
      <w:szCs w:val="24"/>
    </w:rPr>
  </w:style>
  <w:style w:type="character" w:customStyle="1" w:styleId="12">
    <w:name w:val="HTML 预设格式 字符"/>
    <w:basedOn w:val="9"/>
    <w:semiHidden/>
    <w:uiPriority w:val="99"/>
    <w:rPr>
      <w:rFonts w:ascii="Courier New" w:hAnsi="Courier New" w:eastAsia="楷体_GB2312" w:cs="Courier New"/>
      <w:sz w:val="20"/>
      <w:szCs w:val="20"/>
    </w:rPr>
  </w:style>
  <w:style w:type="character" w:customStyle="1" w:styleId="13">
    <w:name w:val="页眉 Char"/>
    <w:basedOn w:val="9"/>
    <w:link w:val="4"/>
    <w:uiPriority w:val="99"/>
    <w:rPr>
      <w:rFonts w:ascii="Times New Roman" w:hAnsi="Times New Roman" w:eastAsia="楷体_GB2312" w:cs="Times New Roman"/>
      <w:sz w:val="18"/>
      <w:szCs w:val="18"/>
    </w:rPr>
  </w:style>
  <w:style w:type="character" w:customStyle="1" w:styleId="14">
    <w:name w:val="页脚 Char"/>
    <w:basedOn w:val="9"/>
    <w:link w:val="3"/>
    <w:uiPriority w:val="99"/>
    <w:rPr>
      <w:rFonts w:ascii="Times New Roman" w:hAnsi="Times New Roman" w:eastAsia="楷体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165</Words>
  <Characters>943</Characters>
  <Lines>7</Lines>
  <Paragraphs>2</Paragraphs>
  <TotalTime>35</TotalTime>
  <ScaleCrop>false</ScaleCrop>
  <LinksUpToDate>false</LinksUpToDate>
  <CharactersWithSpaces>1106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2018-06-18T12:51:00Z</dcterms:created>
  <dc:creator>shxdu</dc:creator>
  <cp:lastModifiedBy>釉里红</cp:lastModifiedBy>
  <dcterms:modified xsi:type="dcterms:W3CDTF">2021-05-26T05:33:30Z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EE9E525379BC4861B592B091B1A00CAA</vt:lpwstr>
  </property>
</Properties>
</file>