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研究生入学考试《材料科学基础》考试大纲</w:t>
      </w:r>
    </w:p>
    <w:p>
      <w:pPr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1. 考试课程名称：材料科学基础</w:t>
      </w:r>
    </w:p>
    <w:p>
      <w:pPr>
        <w:rPr>
          <w:rFonts w:hint="eastAsia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2. 适用专业：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材料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科学与工程（学术型），材料工程（专业学位）</w:t>
      </w:r>
      <w:r>
        <w:rPr>
          <w:rFonts w:hint="eastAsia" w:ascii="宋体" w:hAnsi="宋体"/>
          <w:b/>
          <w:color w:val="000000"/>
          <w:sz w:val="28"/>
          <w:szCs w:val="28"/>
        </w:rPr>
        <w:t>专业</w:t>
      </w:r>
      <w:r>
        <w:rPr>
          <w:rFonts w:hint="eastAsia"/>
          <w:b/>
          <w:color w:val="000000"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  <w:highlight w:val="none"/>
        </w:rPr>
        <w:t>. 主要参考教材</w:t>
      </w:r>
      <w:r>
        <w:rPr>
          <w:rFonts w:hint="eastAsia" w:ascii="宋体" w:hAnsi="宋体"/>
          <w:sz w:val="28"/>
          <w:szCs w:val="28"/>
          <w:highlight w:val="none"/>
        </w:rPr>
        <w:t>：</w:t>
      </w:r>
    </w:p>
    <w:p>
      <w:pPr>
        <w:ind w:firstLine="480"/>
        <w:rPr>
          <w:rFonts w:hint="eastAsia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（</w:t>
      </w:r>
      <w:r>
        <w:rPr>
          <w:rFonts w:hint="eastAsia" w:ascii="宋体" w:hAnsi="宋体"/>
          <w:sz w:val="24"/>
          <w:highlight w:val="none"/>
        </w:rPr>
        <w:t>1</w:t>
      </w:r>
      <w:r>
        <w:rPr>
          <w:rFonts w:ascii="宋体" w:hAnsi="宋体"/>
          <w:sz w:val="24"/>
          <w:highlight w:val="none"/>
        </w:rPr>
        <w:t>）</w:t>
      </w:r>
      <w:r>
        <w:rPr>
          <w:rFonts w:hint="eastAsia"/>
          <w:sz w:val="24"/>
          <w:highlight w:val="none"/>
        </w:rPr>
        <w:t>刘智恩主编，《材料科学基础》第5版，西北工业大学出版社，2018。</w:t>
      </w:r>
    </w:p>
    <w:p>
      <w:pPr>
        <w:ind w:firstLine="480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（</w:t>
      </w:r>
      <w:r>
        <w:rPr>
          <w:rFonts w:hint="eastAsia" w:ascii="宋体" w:hAnsi="宋体"/>
          <w:sz w:val="24"/>
          <w:highlight w:val="none"/>
        </w:rPr>
        <w:t>2</w:t>
      </w:r>
      <w:r>
        <w:rPr>
          <w:rFonts w:ascii="宋体" w:hAnsi="宋体"/>
          <w:sz w:val="24"/>
          <w:highlight w:val="none"/>
        </w:rPr>
        <w:t>）</w:t>
      </w:r>
      <w:r>
        <w:rPr>
          <w:rFonts w:hint="eastAsia" w:ascii="宋体" w:hAnsi="宋体"/>
          <w:sz w:val="24"/>
          <w:szCs w:val="28"/>
          <w:highlight w:val="none"/>
        </w:rPr>
        <w:t>胡志强主编</w:t>
      </w:r>
      <w:r>
        <w:rPr>
          <w:rFonts w:hint="eastAsia" w:ascii="宋体" w:hAnsi="宋体"/>
          <w:sz w:val="24"/>
          <w:highlight w:val="none"/>
        </w:rPr>
        <w:t>，《无机材料科学基础教程》第二版 化学工业出版社，20</w:t>
      </w:r>
      <w:r>
        <w:rPr>
          <w:rFonts w:ascii="宋体" w:hAnsi="宋体"/>
          <w:sz w:val="24"/>
          <w:highlight w:val="none"/>
        </w:rPr>
        <w:t>11</w:t>
      </w:r>
    </w:p>
    <w:p>
      <w:pPr>
        <w:ind w:firstLine="480"/>
        <w:rPr>
          <w:rFonts w:hint="eastAsia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（</w:t>
      </w:r>
      <w:r>
        <w:rPr>
          <w:rFonts w:hint="eastAsia" w:ascii="宋体" w:hAnsi="宋体"/>
          <w:sz w:val="24"/>
          <w:highlight w:val="none"/>
        </w:rPr>
        <w:t>3</w:t>
      </w:r>
      <w:r>
        <w:rPr>
          <w:rFonts w:ascii="宋体" w:hAnsi="宋体"/>
          <w:sz w:val="24"/>
          <w:highlight w:val="none"/>
        </w:rPr>
        <w:t>）</w:t>
      </w:r>
      <w:r>
        <w:rPr>
          <w:rFonts w:hint="eastAsia"/>
          <w:sz w:val="24"/>
          <w:highlight w:val="none"/>
        </w:rPr>
        <w:t>石德柯主编，《材料科学基础》第2版，机械工业出版社，2019。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 xml:space="preserve">4. </w:t>
      </w:r>
      <w:r>
        <w:rPr>
          <w:rFonts w:ascii="宋体" w:hAnsi="宋体"/>
          <w:b/>
          <w:sz w:val="28"/>
          <w:szCs w:val="28"/>
          <w:highlight w:val="none"/>
        </w:rPr>
        <w:t>考试形式</w:t>
      </w:r>
      <w:r>
        <w:rPr>
          <w:rFonts w:hint="eastAsia" w:ascii="宋体" w:hAnsi="宋体"/>
          <w:b/>
          <w:sz w:val="28"/>
          <w:szCs w:val="28"/>
          <w:highlight w:val="none"/>
        </w:rPr>
        <w:t>：</w:t>
      </w:r>
    </w:p>
    <w:p>
      <w:pPr>
        <w:ind w:firstLine="480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考试形式为笔试。考试时间为180分钟。满分为1</w:t>
      </w:r>
      <w:r>
        <w:rPr>
          <w:rFonts w:hint="eastAsia" w:ascii="宋体" w:hAnsi="宋体"/>
          <w:sz w:val="24"/>
          <w:highlight w:val="none"/>
        </w:rPr>
        <w:t>50</w:t>
      </w:r>
      <w:r>
        <w:rPr>
          <w:rFonts w:ascii="宋体" w:hAnsi="宋体"/>
          <w:sz w:val="24"/>
          <w:highlight w:val="none"/>
        </w:rPr>
        <w:t>分。</w:t>
      </w:r>
    </w:p>
    <w:p>
      <w:pPr>
        <w:rPr>
          <w:rFonts w:hint="eastAsia"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 xml:space="preserve">5. </w:t>
      </w:r>
      <w:r>
        <w:rPr>
          <w:rFonts w:ascii="宋体" w:hAnsi="宋体"/>
          <w:b/>
          <w:sz w:val="28"/>
          <w:szCs w:val="28"/>
          <w:highlight w:val="none"/>
        </w:rPr>
        <w:t>试卷</w:t>
      </w:r>
      <w:r>
        <w:rPr>
          <w:rFonts w:hint="eastAsia" w:ascii="宋体" w:hAnsi="宋体"/>
          <w:b/>
          <w:sz w:val="28"/>
          <w:szCs w:val="28"/>
          <w:highlight w:val="none"/>
        </w:rPr>
        <w:t>题型：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 主要包括概念题、辨析题、简答题、综合问答题和计算与作图题等。</w:t>
      </w:r>
    </w:p>
    <w:p>
      <w:pPr>
        <w:rPr>
          <w:rFonts w:hint="eastAsia"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 xml:space="preserve">6. </w:t>
      </w:r>
      <w:r>
        <w:rPr>
          <w:rFonts w:ascii="宋体" w:hAnsi="宋体"/>
          <w:b/>
          <w:sz w:val="28"/>
          <w:szCs w:val="28"/>
          <w:highlight w:val="none"/>
        </w:rPr>
        <w:t>考试内容</w:t>
      </w:r>
      <w:r>
        <w:rPr>
          <w:rFonts w:hint="eastAsia" w:ascii="宋体" w:hAnsi="宋体"/>
          <w:b/>
          <w:sz w:val="28"/>
          <w:szCs w:val="28"/>
          <w:highlight w:val="none"/>
        </w:rPr>
        <w:t>与要求：</w:t>
      </w:r>
    </w:p>
    <w:p>
      <w:pPr>
        <w:rPr>
          <w:rFonts w:hint="eastAsia" w:ascii="宋体" w:hAnsi="宋体"/>
          <w:b/>
          <w:sz w:val="24"/>
          <w:highlight w:val="none"/>
        </w:rPr>
      </w:pP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6.1绪论与材料结构的基本知识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6.1.1 掌握材料科学的基本含义。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6.1.2 材料中的原子排列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 (1) 原子结构；原子结合键，重点掌握结合键分类及其特点，侧重于概念。</w:t>
      </w:r>
    </w:p>
    <w:p>
      <w:pPr>
        <w:ind w:firstLine="48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(2) 晶体、非晶体。侧重于概念。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6.1.3 晶体材料的组织</w:t>
      </w:r>
    </w:p>
    <w:p>
      <w:pPr>
        <w:ind w:firstLine="48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重点掌握相的概念，单相组织与多相组织。</w:t>
      </w:r>
    </w:p>
    <w:p>
      <w:pPr>
        <w:rPr>
          <w:rFonts w:hint="eastAsia" w:ascii="宋体" w:hAnsi="宋体"/>
          <w:sz w:val="24"/>
          <w:highlight w:val="none"/>
        </w:rPr>
      </w:pP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6.2. 材料中的晶体结构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6.2.1晶体学基础</w:t>
      </w:r>
    </w:p>
    <w:p>
      <w:pPr>
        <w:ind w:firstLine="48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侧重于概念和作图。空间点阵与晶体结构、晶胞、布拉菲点阵、晶向指数与晶面指数、晶面间距。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6.2.2 掌握常见的晶体结构及其几何特征，并会画出其示意图。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   包括基本概念：配位数、致密度、间隙半径、多晶型性。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6.2.3 离子晶体的结构和共价键晶体的结构的基本概念和特点。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6.2.4 高分子材料的基本概念，此部分为非重点。</w:t>
      </w:r>
    </w:p>
    <w:p>
      <w:pPr>
        <w:rPr>
          <w:rFonts w:hint="eastAsia" w:ascii="宋体" w:hAnsi="宋体"/>
          <w:sz w:val="24"/>
          <w:highlight w:val="none"/>
        </w:rPr>
      </w:pP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6.3 晶体缺陷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 晶体缺陷的概念、分类及其重要作用。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6.3.1 点缺陷的类型：空位的特点及分类；点缺陷的平衡浓度；点缺陷的产生及其运动；点缺陷与材料行为。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6.3.2线缺陷（位错）</w:t>
      </w:r>
    </w:p>
    <w:p>
      <w:pPr>
        <w:tabs>
          <w:tab w:val="left" w:pos="540"/>
        </w:tabs>
        <w:ind w:firstLine="480"/>
        <w:rPr>
          <w:rFonts w:hint="eastAsia" w:ascii="宋体" w:hAnsi="宋体"/>
          <w:color w:val="FF0000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位错的基本类型；刃型位错；螺型位错；混合位错；位错的性质；柏氏矢量；位错密度；位错的运动特点及分类；位错的应变能与线张力；位错的应力场及其与其它缺陷的作用；位错的增殖、塞积与交割，掌握典型位错源的增殖特点；位错反应；实际晶体中的位错：全位错，不全位错；</w:t>
      </w:r>
      <w:r>
        <w:rPr>
          <w:rFonts w:hint="eastAsia" w:ascii="宋体" w:hAnsi="宋体"/>
          <w:color w:val="FF0000"/>
          <w:sz w:val="24"/>
          <w:highlight w:val="none"/>
        </w:rPr>
        <w:t xml:space="preserve"> 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6.3.3 面缺陷</w:t>
      </w:r>
    </w:p>
    <w:p>
      <w:pPr>
        <w:ind w:firstLine="48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面缺陷主要包括晶界、相界和表面，它们对材料的力学和物理化学性能具有重要影响。</w:t>
      </w:r>
    </w:p>
    <w:p>
      <w:pPr>
        <w:rPr>
          <w:rFonts w:hint="eastAsia" w:ascii="宋体" w:hAnsi="宋体"/>
          <w:sz w:val="24"/>
          <w:highlight w:val="none"/>
        </w:rPr>
      </w:pP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6.4 材料的相结构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合金、相的分类、固溶体的分类及其特点、中间相、金属化合物。侧重于概念。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熔体和玻璃体：熔体的结构和性质，玻璃的通性；硅酸盐玻璃结构参数及对玻璃结构和性能的影响（可选）。</w:t>
      </w:r>
    </w:p>
    <w:p>
      <w:pPr>
        <w:rPr>
          <w:rFonts w:hint="eastAsia" w:ascii="宋体" w:hAnsi="宋体"/>
          <w:sz w:val="24"/>
          <w:highlight w:val="none"/>
        </w:rPr>
      </w:pP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6.5相图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6.5.1二元相图</w:t>
      </w:r>
    </w:p>
    <w:p>
      <w:pPr>
        <w:ind w:firstLine="480"/>
        <w:jc w:val="lef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相图的基本知识：相律相图的表示与建立、杠杆定律；二元匀晶相图及其分析；固溶体的不平衡结晶；成分过冷及其对晶体生长形态的影响；过冷形成的条件和影响因素。二元共晶相图及合金凝固分析；二元包晶相图；其它类型的二元相图；铁碳合金相图的分析和使用；相图与合金性能的关系相图的热力学解释；铸锭组织及其控制方法及原理。</w:t>
      </w:r>
    </w:p>
    <w:p>
      <w:pPr>
        <w:jc w:val="lef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6.5.2三元相图</w:t>
      </w:r>
    </w:p>
    <w:p>
      <w:pPr>
        <w:ind w:firstLine="48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三元相图的主要特点、成分表示法－成分三角形、成分三角形中特殊的点和线、平衡转变的类型、共线法则与杠杆定律、重心定律。</w:t>
      </w:r>
    </w:p>
    <w:p>
      <w:pPr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三元匀晶相图和三元共晶相图：相图分析；等温界面（水平截面）；变温截面（垂直截面）；投影图的分析；相平衡特点。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</w:t>
      </w:r>
      <w:r>
        <w:rPr>
          <w:rFonts w:ascii="宋体" w:hAnsi="宋体"/>
          <w:sz w:val="24"/>
          <w:highlight w:val="none"/>
        </w:rPr>
        <w:t xml:space="preserve">.5.3 </w:t>
      </w:r>
      <w:r>
        <w:rPr>
          <w:rFonts w:hint="eastAsia" w:ascii="宋体" w:hAnsi="宋体"/>
          <w:sz w:val="24"/>
          <w:highlight w:val="none"/>
        </w:rPr>
        <w:t>二元相图的基本知识，硅酸盐系统相平衡的特点；二元相图的基本类型，杠杆规则，结晶路径的分析及表达；相图实例分析。</w:t>
      </w:r>
    </w:p>
    <w:p>
      <w:pPr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三元相图的基本特点，三元相图组成表示方法－浓度三角形（等含量规则、定比例规则、杠杆规则、重心原理）；三元相图的基本类型，连线规则、切线规则、重心规则、三角形规则等理解和应用。典型结晶路径的分析及表达；相图实例分析。（可选）</w:t>
      </w:r>
    </w:p>
    <w:p>
      <w:pPr>
        <w:rPr>
          <w:rFonts w:hint="eastAsia" w:ascii="宋体" w:hAnsi="宋体"/>
          <w:sz w:val="24"/>
          <w:highlight w:val="none"/>
        </w:rPr>
      </w:pP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6.6 材料的凝固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6.6.1材料结晶的基本规律</w:t>
      </w:r>
    </w:p>
    <w:p>
      <w:pPr>
        <w:ind w:firstLine="48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液态材料的结构、过冷现象、结晶的基本过程。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6.6.2材料结晶的基本条件：热力学条件、结构条件。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6.6.3晶核的形成：均匀形核、非均匀形核、临界晶核、临界过冷度、形核功与能量起伏、形核率与过冷度的关系。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6.6.4晶核长大：晶核长大的条件、液固界面微结构与晶体长大机制、液体中温度梯度与晶体的长大形态。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6.6.5凝固理论的应用：材料铸态晶粒度的控制、单晶体的制备原理、定向凝固技术、急冷凝固技术。重点掌握基本原理。</w:t>
      </w:r>
    </w:p>
    <w:p>
      <w:pPr>
        <w:spacing w:line="360" w:lineRule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Calibri" w:hAnsi="Calibri"/>
          <w:color w:val="000000"/>
          <w:sz w:val="24"/>
          <w:highlight w:val="none"/>
        </w:rPr>
        <w:t>6.</w:t>
      </w:r>
      <w:r>
        <w:rPr>
          <w:rFonts w:ascii="Calibri" w:hAnsi="Calibri"/>
          <w:color w:val="000000"/>
          <w:sz w:val="24"/>
          <w:highlight w:val="none"/>
        </w:rPr>
        <w:t>6.6</w:t>
      </w:r>
      <w:r>
        <w:rPr>
          <w:rFonts w:hint="eastAsia" w:ascii="Calibri" w:hAnsi="Calibri"/>
          <w:color w:val="000000"/>
          <w:sz w:val="24"/>
          <w:highlight w:val="none"/>
        </w:rPr>
        <w:t xml:space="preserve"> 热力学在凝聚态系统中应用的特点；热力学应用计算方法：热力学经典计算方法、</w:t>
      </w:r>
      <w:r>
        <w:rPr>
          <w:position w:val="-10"/>
          <w:sz w:val="24"/>
          <w:highlight w:val="none"/>
        </w:rPr>
        <w:object>
          <v:shape id="_x0000_i1025" o:spt="75" type="#_x0000_t75" style="height:15.6pt;width: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 w:ascii="Calibri" w:hAnsi="Calibri"/>
          <w:color w:val="000000"/>
          <w:sz w:val="24"/>
          <w:highlight w:val="none"/>
        </w:rPr>
        <w:t>函数法。（可选）</w:t>
      </w:r>
    </w:p>
    <w:p>
      <w:pPr>
        <w:rPr>
          <w:rFonts w:hint="eastAsia" w:ascii="宋体" w:hAnsi="宋体"/>
          <w:sz w:val="24"/>
          <w:highlight w:val="none"/>
        </w:rPr>
      </w:pP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6.7固体中的扩散</w:t>
      </w:r>
    </w:p>
    <w:p>
      <w:pPr>
        <w:ind w:left="1"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扩散的现象与本质；扩散的分类 ；扩散定律：菲克第一定律和菲克第二定律及其应用；扩散的微观机理与现象：扩散机制、扩散的驱动力与上坡扩散、反应扩散；影响扩散的主要因素。</w:t>
      </w:r>
    </w:p>
    <w:p>
      <w:pPr>
        <w:rPr>
          <w:rFonts w:hint="eastAsia" w:ascii="宋体" w:hAnsi="宋体"/>
          <w:sz w:val="24"/>
          <w:highlight w:val="none"/>
        </w:rPr>
      </w:pP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6.8 材料的变形与断裂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6.8.1单晶体的塑性变形方式及其特点；滑移的临界分切应力（</w:t>
      </w:r>
      <w:r>
        <w:rPr>
          <w:rFonts w:hint="eastAsia" w:ascii="宋体" w:hAnsi="宋体"/>
          <w:sz w:val="24"/>
          <w:highlight w:val="none"/>
        </w:rPr>
        <w:sym w:font="Symbol" w:char="F074"/>
      </w:r>
      <w:r>
        <w:rPr>
          <w:rFonts w:hint="eastAsia" w:ascii="宋体" w:hAnsi="宋体"/>
          <w:sz w:val="24"/>
          <w:highlight w:val="none"/>
        </w:rPr>
        <w:t>c）；位错运动的阻力；多滑移；交滑移；孪生。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6.8.2多晶体的塑性变形特点。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6.8.3 合金的塑性变形及其强化方法。</w:t>
      </w:r>
    </w:p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6.8.4 塑性变形对材料组织和性能的影响特点。</w:t>
      </w: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6.8.5 回复与再结晶、回复动力学、回复机理、回复退火的应用、再结晶动力学（示意图）、再结晶温度、影响再结晶的因素、再结晶晶粒大小的控制、再结晶的应用、动态回复与动态再结晶、金属的热加工、超塑性。</w:t>
      </w:r>
    </w:p>
    <w:p>
      <w:pPr>
        <w:rPr>
          <w:rFonts w:hint="eastAsia" w:ascii="宋体" w:hAnsi="宋体"/>
          <w:b/>
          <w:sz w:val="24"/>
          <w:highlight w:val="none"/>
        </w:rPr>
      </w:pP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6.9 固态相变基本原理</w:t>
      </w:r>
    </w:p>
    <w:p>
      <w:pPr>
        <w:ind w:firstLine="48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固态相变的特点及分类；相变热力学；相变动力学；固溶体分解；钢在加热和冷却时的转变；贝氏体转变；退火与正火；淬火与回火；表面热处理主要工艺及原理。</w:t>
      </w:r>
    </w:p>
    <w:p>
      <w:pPr>
        <w:ind w:firstLine="48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液-固相变过程热力学和动力学；液-固相变析晶过程（可选）。</w:t>
      </w:r>
    </w:p>
    <w:p>
      <w:pPr>
        <w:ind w:firstLine="480"/>
        <w:rPr>
          <w:rFonts w:hint="eastAsia" w:ascii="宋体" w:hAnsi="宋体"/>
          <w:sz w:val="24"/>
          <w:highlight w:val="none"/>
        </w:rPr>
      </w:pP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6.10 复合材料</w:t>
      </w:r>
    </w:p>
    <w:p>
      <w:pPr>
        <w:ind w:firstLine="480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复合材料概念及其常见类型；复合效应；复合材料界面结构</w:t>
      </w:r>
      <w:r>
        <w:rPr>
          <w:rFonts w:hint="eastAsia" w:ascii="宋体" w:hAnsi="宋体"/>
          <w:b/>
          <w:sz w:val="24"/>
          <w:highlight w:val="none"/>
        </w:rPr>
        <w:t>。</w:t>
      </w:r>
    </w:p>
    <w:p>
      <w:pPr>
        <w:ind w:firstLine="480"/>
        <w:rPr>
          <w:rFonts w:hint="eastAsia" w:ascii="宋体" w:hAnsi="宋体"/>
          <w:b/>
          <w:sz w:val="24"/>
          <w:highlight w:val="none"/>
        </w:rPr>
      </w:pPr>
    </w:p>
    <w:p>
      <w:pPr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</w:t>
      </w:r>
      <w:r>
        <w:rPr>
          <w:rFonts w:ascii="宋体" w:hAnsi="宋体"/>
          <w:b/>
          <w:sz w:val="24"/>
          <w:highlight w:val="none"/>
        </w:rPr>
        <w:t xml:space="preserve">.11 </w:t>
      </w:r>
      <w:r>
        <w:rPr>
          <w:rFonts w:hint="eastAsia" w:ascii="宋体" w:hAnsi="宋体"/>
          <w:b/>
          <w:sz w:val="24"/>
          <w:highlight w:val="none"/>
        </w:rPr>
        <w:t>固相反应与烧结（可选）</w:t>
      </w: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</w:t>
      </w:r>
      <w:r>
        <w:rPr>
          <w:rFonts w:ascii="宋体" w:hAnsi="宋体"/>
          <w:b/>
          <w:sz w:val="24"/>
          <w:highlight w:val="none"/>
        </w:rPr>
        <w:t xml:space="preserve">.11.1 </w:t>
      </w:r>
      <w:r>
        <w:rPr>
          <w:rFonts w:hint="eastAsia" w:ascii="宋体" w:hAnsi="宋体"/>
          <w:b/>
          <w:sz w:val="24"/>
          <w:highlight w:val="none"/>
        </w:rPr>
        <w:t>固相反应</w:t>
      </w:r>
      <w:r>
        <w:rPr>
          <w:rFonts w:ascii="宋体" w:hAnsi="宋体"/>
          <w:b/>
          <w:sz w:val="24"/>
          <w:highlight w:val="none"/>
        </w:rPr>
        <w:t xml:space="preserve"> </w:t>
      </w:r>
    </w:p>
    <w:p>
      <w:pPr>
        <w:ind w:firstLine="48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固相反应动力学方程：杨德尔方程和金斯特林格方程的推导及其适用的范围；影响固相反应的因素。</w:t>
      </w:r>
    </w:p>
    <w:p>
      <w:pPr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6</w:t>
      </w:r>
      <w:r>
        <w:rPr>
          <w:rFonts w:ascii="宋体" w:hAnsi="宋体"/>
          <w:b/>
          <w:sz w:val="24"/>
          <w:highlight w:val="none"/>
        </w:rPr>
        <w:t xml:space="preserve">.11.2 </w:t>
      </w:r>
      <w:r>
        <w:rPr>
          <w:rFonts w:hint="eastAsia" w:ascii="宋体" w:hAnsi="宋体"/>
          <w:b/>
          <w:sz w:val="24"/>
          <w:highlight w:val="none"/>
        </w:rPr>
        <w:t>烧结</w:t>
      </w:r>
    </w:p>
    <w:p>
      <w:pPr>
        <w:ind w:firstLine="48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烧结以及与烧结有关的概念；烧结过程的推动力；烧结模型；烧结过程中的烧结传质机理：蒸发-凝聚传质、扩散传质、流动传质、溶解-沉淀传质发生的原因、条件、特点和动力学方程；烧结过程中晶粒生长与二次再结晶的控制；影响烧结的因素。</w:t>
      </w:r>
    </w:p>
    <w:p>
      <w:pPr>
        <w:rPr>
          <w:rFonts w:hint="eastAsia" w:ascii="宋体" w:hAnsi="宋体"/>
          <w:sz w:val="24"/>
          <w:highlight w:val="none"/>
        </w:rPr>
      </w:pPr>
    </w:p>
    <w:p>
      <w:pPr>
        <w:ind w:firstLine="480"/>
        <w:rPr>
          <w:rFonts w:hint="eastAsia" w:ascii="宋体" w:hAnsi="宋体"/>
          <w:sz w:val="24"/>
          <w:highlight w:val="none"/>
        </w:rPr>
      </w:pPr>
    </w:p>
    <w:p>
      <w:pPr>
        <w:ind w:firstLine="480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注：可选内容仅供无机材料考生复习参考。</w:t>
      </w:r>
    </w:p>
    <w:p>
      <w:pPr>
        <w:ind w:right="480"/>
        <w:jc w:val="right"/>
        <w:rPr>
          <w:rFonts w:hint="eastAsia"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A8"/>
    <w:rsid w:val="000165CE"/>
    <w:rsid w:val="000219A3"/>
    <w:rsid w:val="0002743F"/>
    <w:rsid w:val="00032E60"/>
    <w:rsid w:val="00034F96"/>
    <w:rsid w:val="00051439"/>
    <w:rsid w:val="00064C65"/>
    <w:rsid w:val="00073C3F"/>
    <w:rsid w:val="00075784"/>
    <w:rsid w:val="00082D89"/>
    <w:rsid w:val="00084608"/>
    <w:rsid w:val="00084C83"/>
    <w:rsid w:val="00093CB8"/>
    <w:rsid w:val="000A4D34"/>
    <w:rsid w:val="000B38D5"/>
    <w:rsid w:val="000D0AF7"/>
    <w:rsid w:val="000D5C5B"/>
    <w:rsid w:val="000D7EB8"/>
    <w:rsid w:val="000E0FAF"/>
    <w:rsid w:val="000E566A"/>
    <w:rsid w:val="000E7A60"/>
    <w:rsid w:val="000F27A8"/>
    <w:rsid w:val="000F49DC"/>
    <w:rsid w:val="00106E3D"/>
    <w:rsid w:val="00120FA0"/>
    <w:rsid w:val="0012684B"/>
    <w:rsid w:val="00153031"/>
    <w:rsid w:val="0017355C"/>
    <w:rsid w:val="001772AD"/>
    <w:rsid w:val="00186775"/>
    <w:rsid w:val="00186B1B"/>
    <w:rsid w:val="00191670"/>
    <w:rsid w:val="00191757"/>
    <w:rsid w:val="001946A5"/>
    <w:rsid w:val="00197B96"/>
    <w:rsid w:val="001A2147"/>
    <w:rsid w:val="001A2263"/>
    <w:rsid w:val="001A6971"/>
    <w:rsid w:val="001D5159"/>
    <w:rsid w:val="001E3E9E"/>
    <w:rsid w:val="001E5BEB"/>
    <w:rsid w:val="001E65B5"/>
    <w:rsid w:val="001F45F7"/>
    <w:rsid w:val="00212325"/>
    <w:rsid w:val="0021574B"/>
    <w:rsid w:val="0022158F"/>
    <w:rsid w:val="002233C5"/>
    <w:rsid w:val="002324DC"/>
    <w:rsid w:val="0023726C"/>
    <w:rsid w:val="00241C0C"/>
    <w:rsid w:val="00256FF0"/>
    <w:rsid w:val="0026733B"/>
    <w:rsid w:val="002745F9"/>
    <w:rsid w:val="00277166"/>
    <w:rsid w:val="002B184E"/>
    <w:rsid w:val="002B7181"/>
    <w:rsid w:val="002C3B2E"/>
    <w:rsid w:val="002D1EFD"/>
    <w:rsid w:val="002D4E55"/>
    <w:rsid w:val="002D70EB"/>
    <w:rsid w:val="002E2D01"/>
    <w:rsid w:val="002F6CD5"/>
    <w:rsid w:val="003028BC"/>
    <w:rsid w:val="00322A3B"/>
    <w:rsid w:val="00325707"/>
    <w:rsid w:val="00327E9B"/>
    <w:rsid w:val="00336E25"/>
    <w:rsid w:val="00340C42"/>
    <w:rsid w:val="003428F0"/>
    <w:rsid w:val="00345C99"/>
    <w:rsid w:val="0035463B"/>
    <w:rsid w:val="003606F6"/>
    <w:rsid w:val="0037030E"/>
    <w:rsid w:val="00382947"/>
    <w:rsid w:val="0038635F"/>
    <w:rsid w:val="00387484"/>
    <w:rsid w:val="00387881"/>
    <w:rsid w:val="003A04ED"/>
    <w:rsid w:val="003B4BCE"/>
    <w:rsid w:val="003B58A2"/>
    <w:rsid w:val="003C2E6A"/>
    <w:rsid w:val="003D52C4"/>
    <w:rsid w:val="003D6771"/>
    <w:rsid w:val="003E45A4"/>
    <w:rsid w:val="003E5FD8"/>
    <w:rsid w:val="003F3989"/>
    <w:rsid w:val="003F472B"/>
    <w:rsid w:val="00406F84"/>
    <w:rsid w:val="00415D75"/>
    <w:rsid w:val="004213E1"/>
    <w:rsid w:val="00421DAF"/>
    <w:rsid w:val="004246AA"/>
    <w:rsid w:val="00426349"/>
    <w:rsid w:val="0044261D"/>
    <w:rsid w:val="00450C88"/>
    <w:rsid w:val="0048554F"/>
    <w:rsid w:val="004865E5"/>
    <w:rsid w:val="00494946"/>
    <w:rsid w:val="004A20EC"/>
    <w:rsid w:val="004C3182"/>
    <w:rsid w:val="004D0778"/>
    <w:rsid w:val="004D2B2D"/>
    <w:rsid w:val="004F7143"/>
    <w:rsid w:val="00524168"/>
    <w:rsid w:val="0052772F"/>
    <w:rsid w:val="00535D6D"/>
    <w:rsid w:val="005408AB"/>
    <w:rsid w:val="00541A2D"/>
    <w:rsid w:val="0056054A"/>
    <w:rsid w:val="00561628"/>
    <w:rsid w:val="00563339"/>
    <w:rsid w:val="00564FCB"/>
    <w:rsid w:val="005659A2"/>
    <w:rsid w:val="005727B4"/>
    <w:rsid w:val="00592F6A"/>
    <w:rsid w:val="00596FEC"/>
    <w:rsid w:val="005A0602"/>
    <w:rsid w:val="005A1AAC"/>
    <w:rsid w:val="005A1EF2"/>
    <w:rsid w:val="005A579F"/>
    <w:rsid w:val="005B729E"/>
    <w:rsid w:val="005C0E17"/>
    <w:rsid w:val="005E15E4"/>
    <w:rsid w:val="005E1861"/>
    <w:rsid w:val="005F32B6"/>
    <w:rsid w:val="00604FAD"/>
    <w:rsid w:val="00605853"/>
    <w:rsid w:val="00614BCC"/>
    <w:rsid w:val="006317AF"/>
    <w:rsid w:val="00631816"/>
    <w:rsid w:val="00631C7C"/>
    <w:rsid w:val="006376EF"/>
    <w:rsid w:val="00641A85"/>
    <w:rsid w:val="00641B3B"/>
    <w:rsid w:val="006714C5"/>
    <w:rsid w:val="00673D1E"/>
    <w:rsid w:val="00681980"/>
    <w:rsid w:val="00682C91"/>
    <w:rsid w:val="0068476D"/>
    <w:rsid w:val="00686104"/>
    <w:rsid w:val="00686C6E"/>
    <w:rsid w:val="00692E7D"/>
    <w:rsid w:val="006B6FA1"/>
    <w:rsid w:val="006C6A93"/>
    <w:rsid w:val="006D2886"/>
    <w:rsid w:val="006E2818"/>
    <w:rsid w:val="006F26D1"/>
    <w:rsid w:val="00730C0E"/>
    <w:rsid w:val="00732FD8"/>
    <w:rsid w:val="007469E3"/>
    <w:rsid w:val="00753259"/>
    <w:rsid w:val="00765A3B"/>
    <w:rsid w:val="007831D3"/>
    <w:rsid w:val="007A244D"/>
    <w:rsid w:val="007A7742"/>
    <w:rsid w:val="007C28FA"/>
    <w:rsid w:val="007D0D74"/>
    <w:rsid w:val="007E5D06"/>
    <w:rsid w:val="007F023F"/>
    <w:rsid w:val="008057AB"/>
    <w:rsid w:val="0081077E"/>
    <w:rsid w:val="0081105A"/>
    <w:rsid w:val="00817AFE"/>
    <w:rsid w:val="00825D52"/>
    <w:rsid w:val="00830909"/>
    <w:rsid w:val="00837D7C"/>
    <w:rsid w:val="008404AA"/>
    <w:rsid w:val="00854A46"/>
    <w:rsid w:val="008617F6"/>
    <w:rsid w:val="0087429F"/>
    <w:rsid w:val="008760FD"/>
    <w:rsid w:val="00877BA5"/>
    <w:rsid w:val="008800B4"/>
    <w:rsid w:val="0088140A"/>
    <w:rsid w:val="0088293A"/>
    <w:rsid w:val="00893BC6"/>
    <w:rsid w:val="0089462E"/>
    <w:rsid w:val="008B0A7C"/>
    <w:rsid w:val="008B1616"/>
    <w:rsid w:val="008B3DEB"/>
    <w:rsid w:val="008D1164"/>
    <w:rsid w:val="008D660D"/>
    <w:rsid w:val="008F4239"/>
    <w:rsid w:val="009011DE"/>
    <w:rsid w:val="00912724"/>
    <w:rsid w:val="00922A92"/>
    <w:rsid w:val="00936DBC"/>
    <w:rsid w:val="009373F3"/>
    <w:rsid w:val="00941D52"/>
    <w:rsid w:val="009964D9"/>
    <w:rsid w:val="0099741B"/>
    <w:rsid w:val="009A4EEB"/>
    <w:rsid w:val="009A6099"/>
    <w:rsid w:val="009B6EAD"/>
    <w:rsid w:val="009C015C"/>
    <w:rsid w:val="009C46D9"/>
    <w:rsid w:val="009C6A4E"/>
    <w:rsid w:val="009D4C0F"/>
    <w:rsid w:val="009E2971"/>
    <w:rsid w:val="009E5E9C"/>
    <w:rsid w:val="009E5F1E"/>
    <w:rsid w:val="009F2643"/>
    <w:rsid w:val="009F2804"/>
    <w:rsid w:val="00A01B9D"/>
    <w:rsid w:val="00A037CD"/>
    <w:rsid w:val="00A06DF1"/>
    <w:rsid w:val="00A06F53"/>
    <w:rsid w:val="00A1696F"/>
    <w:rsid w:val="00A21923"/>
    <w:rsid w:val="00A265A7"/>
    <w:rsid w:val="00A344E3"/>
    <w:rsid w:val="00A47395"/>
    <w:rsid w:val="00A54747"/>
    <w:rsid w:val="00A70A2D"/>
    <w:rsid w:val="00A87A01"/>
    <w:rsid w:val="00A924CA"/>
    <w:rsid w:val="00A92FF8"/>
    <w:rsid w:val="00A97137"/>
    <w:rsid w:val="00AA021B"/>
    <w:rsid w:val="00AA258A"/>
    <w:rsid w:val="00AA51C5"/>
    <w:rsid w:val="00AA63A9"/>
    <w:rsid w:val="00AC2C58"/>
    <w:rsid w:val="00AC75EC"/>
    <w:rsid w:val="00AD2951"/>
    <w:rsid w:val="00AE52F9"/>
    <w:rsid w:val="00AF0512"/>
    <w:rsid w:val="00AF4E5A"/>
    <w:rsid w:val="00B02550"/>
    <w:rsid w:val="00B02DF4"/>
    <w:rsid w:val="00B1706B"/>
    <w:rsid w:val="00B44C94"/>
    <w:rsid w:val="00B45B06"/>
    <w:rsid w:val="00B54AC5"/>
    <w:rsid w:val="00B56B58"/>
    <w:rsid w:val="00B676B4"/>
    <w:rsid w:val="00B909C3"/>
    <w:rsid w:val="00B9573A"/>
    <w:rsid w:val="00BB55C1"/>
    <w:rsid w:val="00BB74E0"/>
    <w:rsid w:val="00BC1A82"/>
    <w:rsid w:val="00BC3A1A"/>
    <w:rsid w:val="00BD22BB"/>
    <w:rsid w:val="00BD2B18"/>
    <w:rsid w:val="00BD6CC2"/>
    <w:rsid w:val="00BE40D7"/>
    <w:rsid w:val="00C11528"/>
    <w:rsid w:val="00C16FC7"/>
    <w:rsid w:val="00C33D7B"/>
    <w:rsid w:val="00C42201"/>
    <w:rsid w:val="00C42D87"/>
    <w:rsid w:val="00C81F6B"/>
    <w:rsid w:val="00C87085"/>
    <w:rsid w:val="00CB4A0C"/>
    <w:rsid w:val="00CC349A"/>
    <w:rsid w:val="00CD05A6"/>
    <w:rsid w:val="00CD3C5B"/>
    <w:rsid w:val="00CE4F9B"/>
    <w:rsid w:val="00CF4A61"/>
    <w:rsid w:val="00D02AED"/>
    <w:rsid w:val="00D1062D"/>
    <w:rsid w:val="00D27561"/>
    <w:rsid w:val="00D314AC"/>
    <w:rsid w:val="00D31CDD"/>
    <w:rsid w:val="00D350E7"/>
    <w:rsid w:val="00D426A8"/>
    <w:rsid w:val="00D449DF"/>
    <w:rsid w:val="00D52B49"/>
    <w:rsid w:val="00D56ED9"/>
    <w:rsid w:val="00D654CA"/>
    <w:rsid w:val="00D66254"/>
    <w:rsid w:val="00D66A59"/>
    <w:rsid w:val="00D77E48"/>
    <w:rsid w:val="00D8161A"/>
    <w:rsid w:val="00D96925"/>
    <w:rsid w:val="00D972B7"/>
    <w:rsid w:val="00DA688E"/>
    <w:rsid w:val="00DB79C9"/>
    <w:rsid w:val="00DC43A4"/>
    <w:rsid w:val="00DD325E"/>
    <w:rsid w:val="00DE624E"/>
    <w:rsid w:val="00E01A06"/>
    <w:rsid w:val="00E062EA"/>
    <w:rsid w:val="00E30D6C"/>
    <w:rsid w:val="00E31EAC"/>
    <w:rsid w:val="00E345AA"/>
    <w:rsid w:val="00E4210A"/>
    <w:rsid w:val="00E64C32"/>
    <w:rsid w:val="00E85E15"/>
    <w:rsid w:val="00E9075D"/>
    <w:rsid w:val="00EA4C1B"/>
    <w:rsid w:val="00EA5A7F"/>
    <w:rsid w:val="00EB155E"/>
    <w:rsid w:val="00EB7DD1"/>
    <w:rsid w:val="00EC18C6"/>
    <w:rsid w:val="00EC24FD"/>
    <w:rsid w:val="00EC5693"/>
    <w:rsid w:val="00EC7720"/>
    <w:rsid w:val="00EF662E"/>
    <w:rsid w:val="00F12A29"/>
    <w:rsid w:val="00F12D9E"/>
    <w:rsid w:val="00F200C3"/>
    <w:rsid w:val="00F31D9F"/>
    <w:rsid w:val="00F36241"/>
    <w:rsid w:val="00F55063"/>
    <w:rsid w:val="00F8346C"/>
    <w:rsid w:val="00F915BE"/>
    <w:rsid w:val="00FA0CD1"/>
    <w:rsid w:val="00FA1F53"/>
    <w:rsid w:val="00FB029F"/>
    <w:rsid w:val="00FB20D0"/>
    <w:rsid w:val="00FB4BEC"/>
    <w:rsid w:val="00FD2D15"/>
    <w:rsid w:val="00FE1F2F"/>
    <w:rsid w:val="00FF1606"/>
    <w:rsid w:val="00FF2535"/>
    <w:rsid w:val="0A3C297C"/>
    <w:rsid w:val="0E146E45"/>
    <w:rsid w:val="10455A49"/>
    <w:rsid w:val="2EE1601D"/>
    <w:rsid w:val="3BE879EA"/>
    <w:rsid w:val="47417AA7"/>
    <w:rsid w:val="67EB08E0"/>
    <w:rsid w:val="684B27BD"/>
    <w:rsid w:val="7D6253DD"/>
    <w:rsid w:val="7FEF2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eeeeee</Company>
  <Pages>3</Pages>
  <Words>368</Words>
  <Characters>2104</Characters>
  <Lines>17</Lines>
  <Paragraphs>4</Paragraphs>
  <TotalTime>24</TotalTime>
  <ScaleCrop>false</ScaleCrop>
  <LinksUpToDate>false</LinksUpToDate>
  <CharactersWithSpaces>2468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2021-07-18T08:38:00Z</dcterms:created>
  <dc:creator>wwwwww</dc:creator>
  <cp:lastModifiedBy>Administrator</cp:lastModifiedBy>
  <dcterms:modified xsi:type="dcterms:W3CDTF">2021-09-22T03:24:39Z</dcterms:modified>
  <dc:title>山东建筑大学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DB94047A33054755805197A3EF801539</vt:lpwstr>
  </property>
</Properties>
</file>