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辽宁大学2022年全国硕士研究生招生考试初试自命题科目考试大纲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818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管理运筹学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满分：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150分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b/>
          <w:color w:val="auto"/>
          <w:sz w:val="24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一、考试对象</w:t>
      </w:r>
    </w:p>
    <w:p>
      <w:pPr>
        <w:spacing w:line="360" w:lineRule="auto"/>
        <w:ind w:left="42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报考辽宁大学商学院管理科学与工程硕士点的所有考生。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b/>
          <w:color w:val="auto"/>
          <w:sz w:val="24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二、考试目的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考核考生对该科目的基本概念、基本理论、基本方法、基本模型及其应用的掌握程度与运用能力。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b/>
          <w:color w:val="auto"/>
          <w:sz w:val="24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三、考试内容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1、单纯型法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概念和描述：线性规划问题的模型、对偶问题的模型、基变量、非基变量、解的形式（基解、基可行解、最优解、无解、无可行解）、影子价格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判定：线性规划问题解的形式、单纯型表运算的规则、对偶变换的规则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证明：线性规划问题的矩阵运算、对偶理论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步骤：对偶单纯型法的步骤、敏感性分析的步骤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计算：单纯型法、改进单纯型法、互补松弛定理的运用、对偶单纯型法、敏感性分析计算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2、运输问题</w:t>
      </w:r>
      <w:r>
        <w:rPr>
          <w:rFonts w:hint="default" w:ascii="Times New Roman" w:hAnsi="Times New Roman" w:cs="Times New Roman"/>
          <w:color w:val="auto"/>
          <w:sz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</w:rPr>
        <w:t>概念和描述：运输问题的模型、产销不平衡问题模型描述</w:t>
      </w:r>
      <w:r>
        <w:rPr>
          <w:rFonts w:hint="default" w:ascii="Times New Roman" w:hAnsi="Times New Roman" w:cs="Times New Roman"/>
          <w:color w:val="auto"/>
          <w:sz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</w:rPr>
        <w:t>判定：运输问题中基变量的个数、最优解判定（尤其是如何给出多个最优解）、求最小还是求最大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步骤：表上作业法的步骤、最优解的步骤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计算：产销不平衡问题、求最大的问题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3、整数规划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概念和描述：整数规划的数学模型（相互排斥的计划、相互排斥的约束、指派问题）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步骤：分枝定界法的步骤、匈牙利算法的步骤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计算：分枝定界法、割平面法、指派问题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4、动态规划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概念和描述：状态转移方程、动态规划的基本思想、动态规划基本方程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计算：用动态规划解非线性规划问题、资源分配问题、生产和存储问题、排序问题、设备更新问题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5、图与网络优化</w:t>
      </w:r>
      <w:r>
        <w:rPr>
          <w:rFonts w:hint="default" w:ascii="Times New Roman" w:hAnsi="Times New Roman" w:cs="Times New Roman"/>
          <w:color w:val="auto"/>
          <w:sz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</w:rPr>
        <w:t>概念和描述：连通图、割集、最短路等问题的模型描述、可行流、最大流、饱和弧、非饱和弧、增广链、最小费用增广链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步骤：Dijkstra算法的步骤、Floyd算法的的步骤、最长路算法的递推关系、寻找增广联的调整步骤、最小费用最大流问题的转换步骤</w:t>
      </w:r>
      <w:r>
        <w:rPr>
          <w:rFonts w:hint="default" w:ascii="Times New Roman" w:hAnsi="Times New Roman" w:cs="Times New Roman"/>
          <w:color w:val="auto"/>
          <w:sz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</w:rPr>
        <w:t>计算：最短路（Dijkstra、Floyd）、最长路、最大流、最小费用最大流、中国邮递员问题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6、排队论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概念与描述：排队系统及其基本机构特征；排队论的常用术语与记号、输入与输出；泊松输入——指数服务排队模型原理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计算：M/M/1、M/M/1/N/∞、M/M/1/∞/m、M/M/c/∞/∞、M/M/c/N/∞、M/M/c/∞/m、M/M/1、经济分析-系统最优化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7、存储论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概念与描述：存储问题；存储模型中的基本要素、各存储模型特征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计算：确定型存储模型、单周期随机型存储模型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8、决策分析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概念与描述：决策分析相关概念；风险型决策、不确定型决策、效用</w:t>
      </w:r>
    </w:p>
    <w:p>
      <w:pPr>
        <w:spacing w:line="360" w:lineRule="auto"/>
        <w:jc w:val="left"/>
        <w:outlineLvl w:val="0"/>
        <w:rPr>
          <w:rFonts w:hint="default" w:ascii="Times New Roman" w:hAnsi="Times New Roman" w:cs="Times New Roman"/>
          <w:b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计算：期望值法、后验概率法、决策树法、不确定型决策相关方法</w:t>
      </w:r>
    </w:p>
    <w:p>
      <w:pPr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63"/>
    <w:rsid w:val="0020516C"/>
    <w:rsid w:val="00232963"/>
    <w:rsid w:val="00242C60"/>
    <w:rsid w:val="00260C9A"/>
    <w:rsid w:val="002D7E9B"/>
    <w:rsid w:val="002E0B63"/>
    <w:rsid w:val="002E35C4"/>
    <w:rsid w:val="002E6F80"/>
    <w:rsid w:val="0030510F"/>
    <w:rsid w:val="00381A2F"/>
    <w:rsid w:val="003E3CEE"/>
    <w:rsid w:val="003F02B7"/>
    <w:rsid w:val="004454EF"/>
    <w:rsid w:val="00644914"/>
    <w:rsid w:val="0071100E"/>
    <w:rsid w:val="00871A99"/>
    <w:rsid w:val="00911ECF"/>
    <w:rsid w:val="009347AE"/>
    <w:rsid w:val="009C15E4"/>
    <w:rsid w:val="009D2348"/>
    <w:rsid w:val="00D12462"/>
    <w:rsid w:val="00D94F80"/>
    <w:rsid w:val="00DA0110"/>
    <w:rsid w:val="00EC016A"/>
    <w:rsid w:val="00F0519D"/>
    <w:rsid w:val="2D3013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2019-07-10T08:21:00Z</dcterms:created>
  <dc:creator>hp</dc:creator>
  <cp:lastModifiedBy>klmnb</cp:lastModifiedBy>
  <dcterms:modified xsi:type="dcterms:W3CDTF">2021-07-12T06:08:12Z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9659088470AF4169A9C42BF87F80B98F</vt:lpwstr>
  </property>
</Properties>
</file>