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47B" w:rsidRDefault="005A7F89">
      <w:pPr>
        <w:pStyle w:val="a5"/>
        <w:rPr>
          <w:rFonts w:ascii="黑体" w:eastAsia="黑体" w:hAnsi="黑体"/>
        </w:rPr>
      </w:pPr>
      <w:r>
        <w:rPr>
          <w:rFonts w:ascii="黑体" w:eastAsia="黑体" w:hAnsi="黑体" w:hint="eastAsia"/>
        </w:rPr>
        <w:t>科目代码：F0901</w:t>
      </w:r>
      <w:r>
        <w:rPr>
          <w:rFonts w:ascii="黑体" w:eastAsia="黑体" w:hAnsi="黑体"/>
        </w:rPr>
        <w:t xml:space="preserve"> </w:t>
      </w:r>
      <w:r>
        <w:rPr>
          <w:rFonts w:ascii="黑体" w:eastAsia="黑体" w:hAnsi="黑体" w:hint="eastAsia"/>
        </w:rPr>
        <w:t>科目名称：仪器分析综合</w:t>
      </w:r>
    </w:p>
    <w:p w:rsidR="00C9747B" w:rsidRDefault="00C9747B">
      <w:pPr>
        <w:pStyle w:val="Default"/>
      </w:pPr>
    </w:p>
    <w:p w:rsidR="00C9747B" w:rsidRDefault="005A7F89">
      <w:pPr>
        <w:pStyle w:val="Default"/>
        <w:spacing w:line="560" w:lineRule="exact"/>
        <w:rPr>
          <w:rFonts w:ascii="宋体" w:eastAsia="宋体" w:hAnsi="宋体" w:cs="仿宋_GB2312"/>
          <w:sz w:val="28"/>
          <w:szCs w:val="28"/>
        </w:rPr>
      </w:pPr>
      <w:r>
        <w:rPr>
          <w:rFonts w:ascii="宋体" w:eastAsia="宋体" w:hAnsi="宋体" w:hint="eastAsia"/>
          <w:b/>
          <w:sz w:val="28"/>
          <w:szCs w:val="28"/>
        </w:rPr>
        <w:t>一、考试要求</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主要考察考生是否掌握了以物质的物理和物理化学性质为基础建立起来的测定物质的化学组成、状态、结构的仪器分析方法，包括各种仪器分析方法的基本原理、仪器的结构特点以及基本操作技能；是否具备根据各种仪器分析方法的特点、应用范围，选择适宜的分析方法解决实际问题的能力。</w:t>
      </w:r>
    </w:p>
    <w:p w:rsidR="00C9747B" w:rsidRDefault="005A7F89">
      <w:pPr>
        <w:pStyle w:val="Default"/>
        <w:spacing w:line="560" w:lineRule="exact"/>
        <w:rPr>
          <w:rFonts w:ascii="宋体" w:eastAsia="宋体" w:hAnsi="宋体"/>
          <w:b/>
          <w:sz w:val="28"/>
          <w:szCs w:val="28"/>
        </w:rPr>
      </w:pPr>
      <w:r>
        <w:rPr>
          <w:rFonts w:ascii="宋体" w:eastAsia="宋体" w:hAnsi="宋体" w:hint="eastAsia"/>
          <w:b/>
          <w:sz w:val="28"/>
          <w:szCs w:val="28"/>
        </w:rPr>
        <w:t>二、考试内容</w:t>
      </w:r>
      <w:r>
        <w:rPr>
          <w:rFonts w:ascii="宋体" w:eastAsia="宋体" w:hAnsi="宋体"/>
          <w:b/>
          <w:sz w:val="28"/>
          <w:szCs w:val="28"/>
        </w:rPr>
        <w:t xml:space="preserve"> </w:t>
      </w:r>
      <w:bookmarkStart w:id="0" w:name="_GoBack"/>
      <w:bookmarkEnd w:id="0"/>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引言</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1、仪器分析的概念，仪器分析方法的特点；</w:t>
      </w:r>
    </w:p>
    <w:p w:rsidR="004742D9" w:rsidRDefault="005A7F89" w:rsidP="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2、仪器分析方法的分类和发展趋势</w:t>
      </w:r>
      <w:r w:rsidR="004742D9">
        <w:rPr>
          <w:rFonts w:ascii="宋体" w:eastAsia="宋体" w:hAnsi="宋体" w:cs="仿宋_GB2312" w:hint="eastAsia"/>
          <w:sz w:val="28"/>
          <w:szCs w:val="28"/>
        </w:rPr>
        <w:t>。</w:t>
      </w:r>
    </w:p>
    <w:p w:rsidR="00C9747B" w:rsidRDefault="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（一）</w:t>
      </w:r>
      <w:r w:rsidR="005A7F89">
        <w:rPr>
          <w:rFonts w:ascii="宋体" w:eastAsia="宋体" w:hAnsi="宋体" w:cs="仿宋_GB2312" w:hint="eastAsia"/>
          <w:sz w:val="28"/>
          <w:szCs w:val="28"/>
        </w:rPr>
        <w:t>气相色谱分析</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1、气相色谱分析的理论基础；</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2、色谱分离条件的选择，固定相及其选择；</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3、气相色谱检测器；</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4、气相色谱定性、定量方法；</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5、毛细管柱气相色谱法；</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6、气相色谱分析的特点及应用范围；</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7、理论塔板数及塔板高度的计算，定量分析方法的计算。</w:t>
      </w:r>
    </w:p>
    <w:p w:rsidR="00C9747B" w:rsidRDefault="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（二）</w:t>
      </w:r>
      <w:r w:rsidR="005A7F89">
        <w:rPr>
          <w:rFonts w:ascii="宋体" w:eastAsia="宋体" w:hAnsi="宋体" w:cs="仿宋_GB2312" w:hint="eastAsia"/>
          <w:sz w:val="28"/>
          <w:szCs w:val="28"/>
        </w:rPr>
        <w:t>高效液相色谱分析</w:t>
      </w:r>
    </w:p>
    <w:p w:rsidR="00C9747B" w:rsidRDefault="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1、</w:t>
      </w:r>
      <w:r w:rsidR="005A7F89">
        <w:rPr>
          <w:rFonts w:ascii="宋体" w:eastAsia="宋体" w:hAnsi="宋体" w:cs="仿宋_GB2312" w:hint="eastAsia"/>
          <w:sz w:val="28"/>
          <w:szCs w:val="28"/>
        </w:rPr>
        <w:t>高效液相色谱法的特点、影响色谱峰扩展及色谱分离的因素；</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2、高效液相色谱法的主要类型及分离原理；</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3、液相色谱法固定相、液相色谱法流动相；</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lastRenderedPageBreak/>
        <w:t>4、各类高效液相色谱法的分离方法，流动相的选择。</w:t>
      </w:r>
    </w:p>
    <w:p w:rsidR="00C9747B" w:rsidRDefault="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（三）</w:t>
      </w:r>
      <w:r w:rsidR="005A7F89">
        <w:rPr>
          <w:rFonts w:ascii="宋体" w:eastAsia="宋体" w:hAnsi="宋体" w:cs="仿宋_GB2312" w:hint="eastAsia"/>
          <w:sz w:val="28"/>
          <w:szCs w:val="28"/>
        </w:rPr>
        <w:t>电位分析法</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1、电位分析法原理，电位法测定溶液的pH值；</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2、离子选择性和膜电位，离子选择性电极的选择性；</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3、离子选择性电极的种类和性能；</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4、离子活（浓）度的测定方法，影响测定的因素；</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5、离子选择性电极分析的应用。</w:t>
      </w:r>
    </w:p>
    <w:p w:rsidR="00C9747B" w:rsidRDefault="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（四）</w:t>
      </w:r>
      <w:r w:rsidR="005A7F89">
        <w:rPr>
          <w:rFonts w:ascii="宋体" w:eastAsia="宋体" w:hAnsi="宋体" w:cs="仿宋_GB2312" w:hint="eastAsia"/>
          <w:sz w:val="28"/>
          <w:szCs w:val="28"/>
        </w:rPr>
        <w:t>原子吸收光谱法</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1、原子吸收法基本原理，原子吸收分光光度计；</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2、定量分析方法；</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3、干扰及其抑制，测定条件选择；</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4、灵敏度、特征浓度及检测极限。</w:t>
      </w:r>
    </w:p>
    <w:p w:rsidR="00C9747B" w:rsidRDefault="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（五）</w:t>
      </w:r>
      <w:r w:rsidR="005A7F89">
        <w:rPr>
          <w:rFonts w:ascii="宋体" w:eastAsia="宋体" w:hAnsi="宋体" w:cs="仿宋_GB2312" w:hint="eastAsia"/>
          <w:sz w:val="28"/>
          <w:szCs w:val="28"/>
        </w:rPr>
        <w:t>紫外吸收光谱法</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1、有机化合物的紫外吸收光谱；</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2、无机化合物的紫外及可见吸收光谱；</w:t>
      </w:r>
    </w:p>
    <w:p w:rsidR="00C9747B" w:rsidRDefault="005A7F8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3、紫外与可见分光光度计及其应用。</w:t>
      </w:r>
    </w:p>
    <w:p w:rsidR="00C9747B" w:rsidRDefault="004742D9">
      <w:pPr>
        <w:pStyle w:val="Default"/>
        <w:spacing w:line="560" w:lineRule="exact"/>
        <w:ind w:firstLine="420"/>
        <w:jc w:val="both"/>
        <w:rPr>
          <w:rFonts w:ascii="宋体" w:eastAsia="宋体" w:hAnsi="宋体" w:cs="仿宋_GB2312"/>
          <w:sz w:val="28"/>
          <w:szCs w:val="28"/>
        </w:rPr>
      </w:pPr>
      <w:r>
        <w:rPr>
          <w:rFonts w:ascii="宋体" w:eastAsia="宋体" w:hAnsi="宋体" w:cs="仿宋_GB2312" w:hint="eastAsia"/>
          <w:sz w:val="28"/>
          <w:szCs w:val="28"/>
        </w:rPr>
        <w:t>（六）</w:t>
      </w:r>
      <w:r w:rsidR="005A7F89">
        <w:rPr>
          <w:rFonts w:ascii="宋体" w:eastAsia="宋体" w:hAnsi="宋体" w:cs="仿宋_GB2312" w:hint="eastAsia"/>
          <w:sz w:val="28"/>
          <w:szCs w:val="28"/>
        </w:rPr>
        <w:t>红外吸收光谱法</w:t>
      </w:r>
    </w:p>
    <w:p w:rsidR="00C9747B" w:rsidRDefault="005A7F89">
      <w:pPr>
        <w:pStyle w:val="Default"/>
        <w:spacing w:line="560" w:lineRule="exact"/>
        <w:jc w:val="both"/>
        <w:rPr>
          <w:rFonts w:ascii="宋体" w:eastAsia="宋体" w:hAnsi="宋体" w:cs="仿宋_GB2312"/>
          <w:sz w:val="28"/>
          <w:szCs w:val="28"/>
        </w:rPr>
      </w:pPr>
      <w:r>
        <w:rPr>
          <w:rFonts w:ascii="宋体" w:eastAsia="宋体" w:hAnsi="宋体" w:cs="仿宋_GB2312" w:hint="eastAsia"/>
          <w:sz w:val="28"/>
          <w:szCs w:val="28"/>
        </w:rPr>
        <w:t xml:space="preserve">   1、红外吸收光谱的产生条件</w:t>
      </w:r>
    </w:p>
    <w:p w:rsidR="00C9747B" w:rsidRDefault="005A7F89">
      <w:pPr>
        <w:pStyle w:val="Default"/>
        <w:spacing w:line="560" w:lineRule="exact"/>
        <w:jc w:val="both"/>
        <w:rPr>
          <w:rFonts w:ascii="宋体" w:eastAsia="宋体" w:hAnsi="宋体" w:cs="仿宋_GB2312"/>
          <w:sz w:val="28"/>
          <w:szCs w:val="28"/>
        </w:rPr>
      </w:pPr>
      <w:r>
        <w:rPr>
          <w:rFonts w:ascii="宋体" w:eastAsia="宋体" w:hAnsi="宋体" w:cs="仿宋_GB2312" w:hint="eastAsia"/>
          <w:sz w:val="28"/>
          <w:szCs w:val="28"/>
        </w:rPr>
        <w:t xml:space="preserve">   2、分子振动方程式及其形式</w:t>
      </w:r>
    </w:p>
    <w:p w:rsidR="00C9747B" w:rsidRDefault="005A7F89">
      <w:pPr>
        <w:pStyle w:val="Default"/>
        <w:spacing w:line="560" w:lineRule="exact"/>
        <w:jc w:val="both"/>
        <w:rPr>
          <w:rFonts w:ascii="宋体" w:eastAsia="宋体" w:hAnsi="宋体" w:cs="仿宋_GB2312"/>
          <w:sz w:val="28"/>
          <w:szCs w:val="28"/>
        </w:rPr>
      </w:pPr>
      <w:r>
        <w:rPr>
          <w:rFonts w:ascii="宋体" w:eastAsia="宋体" w:hAnsi="宋体" w:cs="仿宋_GB2312" w:hint="eastAsia"/>
          <w:sz w:val="28"/>
          <w:szCs w:val="28"/>
        </w:rPr>
        <w:t xml:space="preserve">   3、红外光谱的吸收强度</w:t>
      </w:r>
    </w:p>
    <w:p w:rsidR="00C9747B" w:rsidRDefault="005A7F89">
      <w:pPr>
        <w:pStyle w:val="Default"/>
        <w:spacing w:line="560" w:lineRule="exact"/>
        <w:jc w:val="both"/>
        <w:rPr>
          <w:rFonts w:ascii="宋体" w:eastAsia="宋体" w:hAnsi="宋体" w:cs="仿宋_GB2312"/>
          <w:sz w:val="28"/>
          <w:szCs w:val="28"/>
        </w:rPr>
      </w:pPr>
      <w:r>
        <w:rPr>
          <w:rFonts w:ascii="宋体" w:eastAsia="宋体" w:hAnsi="宋体" w:cs="仿宋_GB2312" w:hint="eastAsia"/>
          <w:sz w:val="28"/>
          <w:szCs w:val="28"/>
        </w:rPr>
        <w:t xml:space="preserve">   4、红外光谱的特征性、基团频率，影响基团频率位移的因素</w:t>
      </w:r>
    </w:p>
    <w:p w:rsidR="00C9747B" w:rsidRDefault="005A7F89">
      <w:pPr>
        <w:pStyle w:val="Default"/>
        <w:spacing w:line="560" w:lineRule="exact"/>
        <w:jc w:val="both"/>
        <w:rPr>
          <w:rFonts w:asciiTheme="majorEastAsia" w:eastAsiaTheme="majorEastAsia" w:hAnsiTheme="majorEastAsia" w:cstheme="majorEastAsia"/>
          <w:bCs/>
          <w:sz w:val="28"/>
          <w:szCs w:val="28"/>
        </w:rPr>
      </w:pPr>
      <w:r>
        <w:rPr>
          <w:rFonts w:ascii="宋体" w:eastAsia="宋体" w:hAnsi="宋体" w:cs="仿宋_GB2312" w:hint="eastAsia"/>
          <w:sz w:val="28"/>
          <w:szCs w:val="28"/>
        </w:rPr>
        <w:t xml:space="preserve">   5、红外光谱定性分析</w:t>
      </w:r>
    </w:p>
    <w:p w:rsidR="00C9747B" w:rsidRDefault="005A7F89">
      <w:pPr>
        <w:pStyle w:val="Default"/>
        <w:spacing w:line="560" w:lineRule="exact"/>
        <w:rPr>
          <w:rFonts w:ascii="宋体" w:eastAsia="宋体" w:hAnsi="宋体"/>
          <w:b/>
          <w:sz w:val="28"/>
          <w:szCs w:val="28"/>
        </w:rPr>
      </w:pPr>
      <w:r>
        <w:rPr>
          <w:rFonts w:ascii="宋体" w:eastAsia="宋体" w:hAnsi="宋体" w:hint="eastAsia"/>
          <w:b/>
          <w:sz w:val="28"/>
          <w:szCs w:val="28"/>
        </w:rPr>
        <w:t>三、题型</w:t>
      </w:r>
    </w:p>
    <w:p w:rsidR="00C9747B" w:rsidRDefault="005A7F89">
      <w:pPr>
        <w:spacing w:line="560" w:lineRule="exact"/>
        <w:rPr>
          <w:rFonts w:ascii="宋体" w:hAnsi="宋体"/>
          <w:bCs/>
          <w:sz w:val="28"/>
          <w:szCs w:val="28"/>
        </w:rPr>
      </w:pPr>
      <w:r>
        <w:rPr>
          <w:rFonts w:ascii="宋体" w:hAnsi="宋体" w:hint="eastAsia"/>
          <w:sz w:val="28"/>
          <w:szCs w:val="28"/>
        </w:rPr>
        <w:t>试卷满分为</w:t>
      </w:r>
      <w:r>
        <w:rPr>
          <w:rFonts w:ascii="宋体" w:hAnsi="宋体"/>
          <w:sz w:val="28"/>
          <w:szCs w:val="28"/>
        </w:rPr>
        <w:t>1</w:t>
      </w:r>
      <w:r>
        <w:rPr>
          <w:rFonts w:ascii="宋体" w:hAnsi="宋体" w:hint="eastAsia"/>
          <w:sz w:val="28"/>
          <w:szCs w:val="28"/>
        </w:rPr>
        <w:t>0</w:t>
      </w:r>
      <w:r>
        <w:rPr>
          <w:rFonts w:ascii="宋体" w:hAnsi="宋体"/>
          <w:sz w:val="28"/>
          <w:szCs w:val="28"/>
        </w:rPr>
        <w:t>0</w:t>
      </w:r>
      <w:r>
        <w:rPr>
          <w:rFonts w:ascii="宋体" w:hAnsi="宋体" w:hint="eastAsia"/>
          <w:sz w:val="28"/>
          <w:szCs w:val="28"/>
        </w:rPr>
        <w:t>分，其中：</w:t>
      </w:r>
      <w:r>
        <w:rPr>
          <w:rFonts w:ascii="宋体" w:hAnsi="宋体" w:hint="eastAsia"/>
          <w:bCs/>
          <w:sz w:val="28"/>
          <w:szCs w:val="28"/>
        </w:rPr>
        <w:t>选择填空题 20 分；判断题 10分；简答</w:t>
      </w:r>
      <w:r>
        <w:rPr>
          <w:rFonts w:ascii="宋体" w:hAnsi="宋体" w:hint="eastAsia"/>
          <w:bCs/>
          <w:sz w:val="28"/>
          <w:szCs w:val="28"/>
        </w:rPr>
        <w:lastRenderedPageBreak/>
        <w:t>题 50分；综合</w:t>
      </w:r>
      <w:r w:rsidR="005153FE">
        <w:rPr>
          <w:rFonts w:ascii="宋体" w:hAnsi="宋体" w:hint="eastAsia"/>
          <w:bCs/>
          <w:sz w:val="28"/>
          <w:szCs w:val="28"/>
        </w:rPr>
        <w:t>论述</w:t>
      </w:r>
      <w:r>
        <w:rPr>
          <w:rFonts w:ascii="宋体" w:hAnsi="宋体" w:hint="eastAsia"/>
          <w:bCs/>
          <w:sz w:val="28"/>
          <w:szCs w:val="28"/>
        </w:rPr>
        <w:t>题 20 分。</w:t>
      </w:r>
    </w:p>
    <w:p w:rsidR="00C9747B" w:rsidRDefault="005A7F89">
      <w:pPr>
        <w:spacing w:line="560" w:lineRule="exact"/>
        <w:rPr>
          <w:rFonts w:ascii="宋体" w:cs="黑体"/>
          <w:b/>
          <w:color w:val="000000"/>
          <w:kern w:val="0"/>
          <w:sz w:val="28"/>
          <w:szCs w:val="28"/>
        </w:rPr>
      </w:pPr>
      <w:r>
        <w:rPr>
          <w:rFonts w:ascii="宋体" w:hAnsi="宋体" w:cs="黑体" w:hint="eastAsia"/>
          <w:b/>
          <w:color w:val="000000"/>
          <w:kern w:val="0"/>
          <w:sz w:val="28"/>
          <w:szCs w:val="28"/>
        </w:rPr>
        <w:t>四、参考教材</w:t>
      </w:r>
    </w:p>
    <w:p w:rsidR="00C9747B" w:rsidRDefault="005A7F89">
      <w:pPr>
        <w:spacing w:line="560" w:lineRule="exact"/>
        <w:ind w:firstLineChars="200" w:firstLine="560"/>
        <w:rPr>
          <w:rFonts w:ascii="宋体" w:hAnsi="宋体"/>
          <w:sz w:val="28"/>
          <w:szCs w:val="28"/>
        </w:rPr>
      </w:pPr>
      <w:r>
        <w:rPr>
          <w:rFonts w:ascii="宋体" w:hAnsi="宋体" w:hint="eastAsia"/>
          <w:sz w:val="28"/>
          <w:szCs w:val="28"/>
        </w:rPr>
        <w:t>1.</w:t>
      </w:r>
      <w:r>
        <w:rPr>
          <w:rFonts w:ascii="宋体" w:hAnsi="宋体"/>
          <w:sz w:val="28"/>
          <w:szCs w:val="28"/>
        </w:rPr>
        <w:t xml:space="preserve"> </w:t>
      </w:r>
      <w:r>
        <w:rPr>
          <w:rFonts w:ascii="宋体" w:hAnsi="宋体" w:hint="eastAsia"/>
          <w:sz w:val="28"/>
          <w:szCs w:val="28"/>
        </w:rPr>
        <w:t>朱明华，胡  坪．仪器分析</w:t>
      </w:r>
      <w:r>
        <w:rPr>
          <w:rFonts w:ascii="宋体" w:hAnsi="宋体"/>
          <w:sz w:val="28"/>
          <w:szCs w:val="28"/>
        </w:rPr>
        <w:t>[M]</w:t>
      </w:r>
      <w:r>
        <w:rPr>
          <w:rFonts w:ascii="宋体" w:hAnsi="宋体" w:hint="eastAsia"/>
          <w:sz w:val="28"/>
          <w:szCs w:val="28"/>
        </w:rPr>
        <w:t>，高等教育出版社，200</w:t>
      </w:r>
      <w:r w:rsidR="00C233BD">
        <w:rPr>
          <w:rFonts w:ascii="宋体" w:hAnsi="宋体" w:hint="eastAsia"/>
          <w:sz w:val="28"/>
          <w:szCs w:val="28"/>
        </w:rPr>
        <w:t>9.</w:t>
      </w:r>
    </w:p>
    <w:p w:rsidR="00C9747B" w:rsidRDefault="005A7F89">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．孙凤霞. 仪器分析[M]</w:t>
      </w:r>
      <w:r w:rsidR="00C233BD">
        <w:rPr>
          <w:rFonts w:ascii="宋体" w:hAnsi="宋体" w:hint="eastAsia"/>
          <w:sz w:val="28"/>
          <w:szCs w:val="28"/>
        </w:rPr>
        <w:t>，</w:t>
      </w:r>
      <w:r>
        <w:rPr>
          <w:rFonts w:ascii="宋体" w:hAnsi="宋体" w:hint="eastAsia"/>
          <w:sz w:val="28"/>
          <w:szCs w:val="28"/>
        </w:rPr>
        <w:t>化学工业出版社</w:t>
      </w:r>
      <w:r w:rsidR="00C233BD">
        <w:rPr>
          <w:rFonts w:ascii="宋体" w:hAnsi="宋体" w:hint="eastAsia"/>
          <w:sz w:val="28"/>
          <w:szCs w:val="28"/>
        </w:rPr>
        <w:t>，</w:t>
      </w:r>
      <w:r>
        <w:rPr>
          <w:rFonts w:ascii="宋体" w:hAnsi="宋体" w:hint="eastAsia"/>
          <w:sz w:val="28"/>
          <w:szCs w:val="28"/>
        </w:rPr>
        <w:t>2011</w:t>
      </w:r>
      <w:r w:rsidR="00C233BD">
        <w:rPr>
          <w:rFonts w:ascii="宋体" w:hAnsi="宋体" w:hint="eastAsia"/>
          <w:sz w:val="28"/>
          <w:szCs w:val="28"/>
        </w:rPr>
        <w:t>.</w:t>
      </w:r>
    </w:p>
    <w:p w:rsidR="00C9747B" w:rsidRDefault="00C9747B" w:rsidP="00C9747B">
      <w:pPr>
        <w:spacing w:line="560" w:lineRule="exact"/>
        <w:ind w:firstLineChars="200" w:firstLine="420"/>
      </w:pPr>
    </w:p>
    <w:sectPr w:rsidR="00C974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4B" w:rsidRDefault="004A584B" w:rsidP="00C233BD">
      <w:r>
        <w:separator/>
      </w:r>
    </w:p>
  </w:endnote>
  <w:endnote w:type="continuationSeparator" w:id="0">
    <w:p w:rsidR="004A584B" w:rsidRDefault="004A584B" w:rsidP="00C2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4B" w:rsidRDefault="004A584B" w:rsidP="00C233BD">
      <w:r>
        <w:separator/>
      </w:r>
    </w:p>
  </w:footnote>
  <w:footnote w:type="continuationSeparator" w:id="0">
    <w:p w:rsidR="004A584B" w:rsidRDefault="004A584B" w:rsidP="00C2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BA"/>
    <w:rsid w:val="00135111"/>
    <w:rsid w:val="00172D96"/>
    <w:rsid w:val="001C2562"/>
    <w:rsid w:val="002737AD"/>
    <w:rsid w:val="00453C1D"/>
    <w:rsid w:val="004742D9"/>
    <w:rsid w:val="004A584B"/>
    <w:rsid w:val="004B5E9C"/>
    <w:rsid w:val="005106B6"/>
    <w:rsid w:val="005153FE"/>
    <w:rsid w:val="00523398"/>
    <w:rsid w:val="005A7F89"/>
    <w:rsid w:val="00767AA0"/>
    <w:rsid w:val="00861546"/>
    <w:rsid w:val="00916A74"/>
    <w:rsid w:val="009521F9"/>
    <w:rsid w:val="00C233BD"/>
    <w:rsid w:val="00C425EC"/>
    <w:rsid w:val="00C9747B"/>
    <w:rsid w:val="00F7474B"/>
    <w:rsid w:val="00FC34BA"/>
    <w:rsid w:val="00FC3F18"/>
    <w:rsid w:val="03743A42"/>
    <w:rsid w:val="0762725F"/>
    <w:rsid w:val="1DD66BE2"/>
    <w:rsid w:val="29B35B2B"/>
    <w:rsid w:val="2F3F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semiHidden="0" w:unhideWhenUsed="0" w:qFormat="1"/>
    <w:lsdException w:name="Body Text Indent 2" w:semiHidden="0"/>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pPr>
      <w:spacing w:after="120" w:line="480" w:lineRule="auto"/>
      <w:ind w:leftChars="200" w:left="420"/>
    </w:pPr>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99"/>
    <w:qFormat/>
    <w:pPr>
      <w:spacing w:before="240" w:after="60" w:line="312" w:lineRule="auto"/>
      <w:jc w:val="center"/>
      <w:outlineLvl w:val="1"/>
    </w:pPr>
    <w:rPr>
      <w:rFonts w:ascii="Cambria" w:hAnsi="Cambria"/>
      <w:b/>
      <w:bCs/>
      <w:kern w:val="28"/>
      <w:sz w:val="32"/>
      <w:szCs w:val="32"/>
    </w:rPr>
  </w:style>
  <w:style w:type="paragraph" w:styleId="3">
    <w:name w:val="Body Text Indent 3"/>
    <w:basedOn w:val="a"/>
    <w:uiPriority w:val="99"/>
    <w:unhideWhenUsed/>
    <w:pPr>
      <w:widowControl/>
      <w:spacing w:after="120"/>
      <w:ind w:left="420"/>
    </w:pPr>
    <w:rPr>
      <w:kern w:val="0"/>
      <w:sz w:val="16"/>
      <w:szCs w:val="16"/>
    </w:r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 w:type="character" w:customStyle="1" w:styleId="Char1">
    <w:name w:val="副标题 Char"/>
    <w:basedOn w:val="a0"/>
    <w:link w:val="a5"/>
    <w:uiPriority w:val="99"/>
    <w:locked/>
    <w:rPr>
      <w:rFonts w:ascii="Cambria" w:eastAsia="宋体" w:hAnsi="Cambria" w:cs="Times New Roman"/>
      <w:b/>
      <w:bCs/>
      <w:kern w:val="28"/>
      <w:sz w:val="32"/>
      <w:szCs w:val="32"/>
    </w:rPr>
  </w:style>
  <w:style w:type="paragraph" w:customStyle="1" w:styleId="Default">
    <w:name w:val="Default"/>
    <w:uiPriority w:val="99"/>
    <w:pPr>
      <w:widowControl w:val="0"/>
      <w:autoSpaceDE w:val="0"/>
      <w:autoSpaceDN w:val="0"/>
      <w:adjustRightInd w:val="0"/>
    </w:pPr>
    <w:rPr>
      <w:rFonts w:ascii="黑体" w:eastAsia="黑体" w:hAnsi="Calibr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semiHidden="0" w:unhideWhenUsed="0" w:qFormat="1"/>
    <w:lsdException w:name="Body Text Indent 2" w:semiHidden="0"/>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pPr>
      <w:spacing w:after="120" w:line="480" w:lineRule="auto"/>
      <w:ind w:leftChars="200" w:left="420"/>
    </w:pPr>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99"/>
    <w:qFormat/>
    <w:pPr>
      <w:spacing w:before="240" w:after="60" w:line="312" w:lineRule="auto"/>
      <w:jc w:val="center"/>
      <w:outlineLvl w:val="1"/>
    </w:pPr>
    <w:rPr>
      <w:rFonts w:ascii="Cambria" w:hAnsi="Cambria"/>
      <w:b/>
      <w:bCs/>
      <w:kern w:val="28"/>
      <w:sz w:val="32"/>
      <w:szCs w:val="32"/>
    </w:rPr>
  </w:style>
  <w:style w:type="paragraph" w:styleId="3">
    <w:name w:val="Body Text Indent 3"/>
    <w:basedOn w:val="a"/>
    <w:uiPriority w:val="99"/>
    <w:unhideWhenUsed/>
    <w:pPr>
      <w:widowControl/>
      <w:spacing w:after="120"/>
      <w:ind w:left="420"/>
    </w:pPr>
    <w:rPr>
      <w:kern w:val="0"/>
      <w:sz w:val="16"/>
      <w:szCs w:val="16"/>
    </w:r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 w:type="character" w:customStyle="1" w:styleId="Char1">
    <w:name w:val="副标题 Char"/>
    <w:basedOn w:val="a0"/>
    <w:link w:val="a5"/>
    <w:uiPriority w:val="99"/>
    <w:locked/>
    <w:rPr>
      <w:rFonts w:ascii="Cambria" w:eastAsia="宋体" w:hAnsi="Cambria" w:cs="Times New Roman"/>
      <w:b/>
      <w:bCs/>
      <w:kern w:val="28"/>
      <w:sz w:val="32"/>
      <w:szCs w:val="32"/>
    </w:rPr>
  </w:style>
  <w:style w:type="paragraph" w:customStyle="1" w:styleId="Default">
    <w:name w:val="Default"/>
    <w:uiPriority w:val="99"/>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140</Words>
  <Characters>799</Characters>
  <Application>Microsoft Office Word</Application>
  <DocSecurity>0</DocSecurity>
  <Lines>6</Lines>
  <Paragraphs>1</Paragraphs>
  <ScaleCrop>false</ScaleCrop>
  <Company>微软中国</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管德清</dc:creator>
  <cp:lastModifiedBy>微软用户</cp:lastModifiedBy>
  <cp:revision>11</cp:revision>
  <dcterms:created xsi:type="dcterms:W3CDTF">2016-05-03T00:58:00Z</dcterms:created>
  <dcterms:modified xsi:type="dcterms:W3CDTF">2016-05-24T01:50:00Z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