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东华大学硕士研究生入学考试大纲</w:t>
      </w:r>
    </w:p>
    <w:p>
      <w:pPr>
        <w:spacing w:line="300" w:lineRule="auto"/>
        <w:rPr>
          <w:rFonts w:hint="eastAsia"/>
          <w:b/>
          <w:szCs w:val="21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科目编号：803                        科目名称：西方经济学</w:t>
      </w:r>
    </w:p>
    <w:p>
      <w:pPr>
        <w:spacing w:line="300" w:lineRule="auto"/>
        <w:rPr>
          <w:rFonts w:hint="eastAsia"/>
          <w:b/>
          <w:szCs w:val="21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一、考试总体要求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西学经济学是经济学及管理学的基础课程，主要内容包括宏观和微观两部分。微观部分主要包括供求理论、消费者行为理论、企业生产和成本理论、市场竞争理、生产要素的。宏观部分包括国民收入的衡量及决定理论、就业理论、通货膨胀理论、乘数理论、财政政策与货币政策等。要求考生了解和掌握西方经济学的基本理论和方法，能够运用西方经济学的基本理论与方法分析和解决现实的经济问题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二、考试内容及比例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《微观经济学》部分（80分）：</w:t>
      </w:r>
    </w:p>
    <w:p>
      <w:pPr>
        <w:spacing w:line="300" w:lineRule="auto"/>
        <w:rPr>
          <w:rFonts w:hint="eastAsia"/>
          <w:b/>
          <w:szCs w:val="21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（一）基本理论导读（10分）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1．经济学的性质与研究方法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经济学的研究对象、性质和研究方法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2．需求供给与市场价格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需求和需求的变化；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供给和供给的变化；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需求与供给弹性；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市场均衡价格与均衡产量的决定；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蛛网理论。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（二）消费者需求理论（20分）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1．消费者行为理论——边际效用分析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效用与边际效用；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边际效用递减规律；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消费者均衡；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需求规律；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消费者剩余。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2．消费者行为理论——无差异曲线分析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基数效用与序数效用；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无差异曲线；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预算线；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消费者均衡；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替代效应和收入效应与消费者需求。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（三）供给理论（20分）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1．生产理论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生产函数；可变比例与报酬递减规律；两种可以相互替代的可变要素与等产量线；厂商均衡；生产规模的报酬。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2．成本理论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成本的含义；短期成本和长期成本。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（四）市场与价格的决定（15分）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1．完全竞争市场的价格与产量决定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市场与市场结构；完全竞争的涵义和特点；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完全竞争市场的厂商和行业的短期、长期均衡。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2．完全垄断市场的价格和产量的决定。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不完全竞争的市场结构；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垄断厂商均衡价格和产量决定；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垄断厂商的差别定价；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垄断与完全竞争的比较。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3．垄断竞争与寡头垄断的厂商均衡和行业均衡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垄断竞争；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垄断竞争的厂商均衡和行业均衡；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垄断与完全竞争的比较；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寡头垄断行业的价格和产量的决定。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（五）生产要素的价格与收入分配理论（15分）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1．生产要素价格的决定</w:t>
      </w:r>
    </w:p>
    <w:p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生产资源的价格与分配理论；生产要素与生产要素的需求；生产要素的供给与要素价格的决定。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2．工资、地租、利息和利润与国民收入的分配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工资理论；地租理论；资本与利息；经济利润与正常利润。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3．“三位一体”公式和边际生产力分配理论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4．一般均衡与福利经济学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5．决策与博弈论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6．产权理论、公共选择理论和信息经济学</w:t>
      </w:r>
    </w:p>
    <w:p>
      <w:pPr>
        <w:spacing w:line="300" w:lineRule="auto"/>
        <w:ind w:firstLine="435"/>
        <w:rPr>
          <w:rFonts w:hint="eastAsia"/>
          <w:szCs w:val="21"/>
        </w:rPr>
      </w:pPr>
    </w:p>
    <w:p>
      <w:pPr>
        <w:spacing w:line="300" w:lineRule="auto"/>
        <w:ind w:firstLine="207" w:firstLineChars="9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《宏观经济学》部分（70分）：</w:t>
      </w:r>
    </w:p>
    <w:p>
      <w:pPr>
        <w:numPr>
          <w:ilvl w:val="0"/>
          <w:numId w:val="1"/>
        </w:num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宏观经济的基本概念和计量（5分）</w:t>
      </w:r>
    </w:p>
    <w:p>
      <w:pPr>
        <w:spacing w:line="300" w:lineRule="auto"/>
        <w:ind w:firstLine="525" w:firstLineChars="25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1、宏观经济不的研究对象与基本方法</w:t>
      </w:r>
    </w:p>
    <w:p>
      <w:pPr>
        <w:spacing w:line="300" w:lineRule="auto"/>
        <w:ind w:firstLine="525" w:firstLineChars="25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2、国收民入核算的基本理论与方法</w:t>
      </w:r>
    </w:p>
    <w:p>
      <w:pPr>
        <w:spacing w:line="300" w:lineRule="auto"/>
        <w:ind w:left="435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国民收入决定的静态均衡模型（30分）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1、简单的凯恩斯宏观经济模型；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2、政府收支、出口对乘数的影响；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3、消费函数理论；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4、利润利息与投资量的决定；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5、货币供给、需求与利率的决定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6、IS——LM模型；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7、AS——AD模型。</w:t>
      </w:r>
    </w:p>
    <w:p>
      <w:pPr>
        <w:spacing w:line="300" w:lineRule="auto"/>
        <w:ind w:left="435" w:firstLine="435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凯恩斯理论发展（10分）</w:t>
      </w:r>
    </w:p>
    <w:p>
      <w:pPr>
        <w:numPr>
          <w:ilvl w:val="1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货币的供给与需求</w:t>
      </w:r>
    </w:p>
    <w:p>
      <w:pPr>
        <w:numPr>
          <w:ilvl w:val="1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宏观经济政策理论</w:t>
      </w:r>
    </w:p>
    <w:p>
      <w:pPr>
        <w:spacing w:line="300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3、货币主义基本理论</w:t>
      </w:r>
    </w:p>
    <w:p>
      <w:pPr>
        <w:spacing w:line="300" w:lineRule="auto"/>
        <w:ind w:left="435" w:firstLine="435"/>
        <w:rPr>
          <w:rFonts w:hint="eastAsia"/>
          <w:szCs w:val="21"/>
        </w:rPr>
      </w:pPr>
      <w:r>
        <w:rPr>
          <w:rFonts w:hint="eastAsia"/>
          <w:szCs w:val="21"/>
        </w:rPr>
        <w:t>4、理论预期学派的基本理论</w:t>
      </w:r>
    </w:p>
    <w:p>
      <w:pPr>
        <w:spacing w:line="300" w:lineRule="auto"/>
        <w:ind w:left="435" w:firstLine="435"/>
        <w:rPr>
          <w:rFonts w:hint="eastAsia"/>
          <w:szCs w:val="21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 xml:space="preserve">   （四）宏观经济政策（15分）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1、财政政策；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2、货币政策；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3、产业政策；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4、贸易政策；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5、就业政策。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ind w:left="43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（五）动态经济学（10分）</w:t>
      </w:r>
    </w:p>
    <w:p>
      <w:pPr>
        <w:spacing w:line="300" w:lineRule="auto"/>
        <w:ind w:left="855"/>
        <w:rPr>
          <w:rFonts w:hint="eastAsia"/>
          <w:szCs w:val="21"/>
        </w:rPr>
      </w:pPr>
      <w:r>
        <w:rPr>
          <w:rFonts w:hint="eastAsia"/>
          <w:szCs w:val="21"/>
        </w:rPr>
        <w:t>1、经济周期理论</w:t>
      </w:r>
    </w:p>
    <w:p>
      <w:pPr>
        <w:spacing w:line="300" w:lineRule="auto"/>
        <w:ind w:left="855"/>
        <w:rPr>
          <w:rFonts w:hint="eastAsia"/>
          <w:szCs w:val="21"/>
        </w:rPr>
      </w:pPr>
      <w:r>
        <w:rPr>
          <w:rFonts w:hint="eastAsia"/>
          <w:szCs w:val="21"/>
        </w:rPr>
        <w:t>2、经济增长理论</w:t>
      </w:r>
    </w:p>
    <w:p>
      <w:pPr>
        <w:spacing w:line="300" w:lineRule="auto"/>
        <w:ind w:left="855"/>
        <w:rPr>
          <w:rFonts w:hint="eastAsia"/>
          <w:szCs w:val="21"/>
        </w:rPr>
      </w:pPr>
      <w:r>
        <w:rPr>
          <w:rFonts w:hint="eastAsia"/>
          <w:szCs w:val="21"/>
        </w:rPr>
        <w:t>3、通货膨胀理论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三、考试题型及比例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1、选择题    （20分）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2、名词解释  （30分）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3、计算题    （30分）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4、简答题    （30分）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5、论述题    （40分）</w:t>
      </w:r>
    </w:p>
    <w:p>
      <w:pPr>
        <w:spacing w:line="300" w:lineRule="auto"/>
        <w:ind w:firstLine="57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四、考试形式及时间</w:t>
      </w:r>
    </w:p>
    <w:p>
      <w:pPr>
        <w:spacing w:line="300" w:lineRule="auto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考试形式：笔试；考试时间，每年由教育部统一定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D04"/>
    <w:multiLevelType w:val="multilevel"/>
    <w:tmpl w:val="0C787D04"/>
    <w:lvl w:ilvl="0" w:tentative="0">
      <w:start w:val="1"/>
      <w:numFmt w:val="japaneseCounting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275"/>
        </w:tabs>
        <w:ind w:left="1275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BC"/>
    <w:rsid w:val="000B2667"/>
    <w:rsid w:val="000B6DD6"/>
    <w:rsid w:val="001070F6"/>
    <w:rsid w:val="00114CC1"/>
    <w:rsid w:val="001C683D"/>
    <w:rsid w:val="00270A5F"/>
    <w:rsid w:val="002E06A5"/>
    <w:rsid w:val="00350F23"/>
    <w:rsid w:val="003E2C1D"/>
    <w:rsid w:val="00495AD3"/>
    <w:rsid w:val="00505D6F"/>
    <w:rsid w:val="005806BE"/>
    <w:rsid w:val="005D4633"/>
    <w:rsid w:val="00650CB7"/>
    <w:rsid w:val="006703E8"/>
    <w:rsid w:val="006F15BC"/>
    <w:rsid w:val="00745AD9"/>
    <w:rsid w:val="00775DC4"/>
    <w:rsid w:val="007874A4"/>
    <w:rsid w:val="00792D9D"/>
    <w:rsid w:val="007E40FE"/>
    <w:rsid w:val="007F2AD3"/>
    <w:rsid w:val="00823F7B"/>
    <w:rsid w:val="008272C7"/>
    <w:rsid w:val="00843010"/>
    <w:rsid w:val="008560D0"/>
    <w:rsid w:val="00887E77"/>
    <w:rsid w:val="008907C1"/>
    <w:rsid w:val="00964A16"/>
    <w:rsid w:val="009830A0"/>
    <w:rsid w:val="009B4A9E"/>
    <w:rsid w:val="00B00FAF"/>
    <w:rsid w:val="00B5081C"/>
    <w:rsid w:val="00BA4987"/>
    <w:rsid w:val="00C6518E"/>
    <w:rsid w:val="00C91574"/>
    <w:rsid w:val="00CE2A2E"/>
    <w:rsid w:val="00E21D21"/>
    <w:rsid w:val="00F42969"/>
    <w:rsid w:val="00FD1619"/>
    <w:rsid w:val="0F20479E"/>
    <w:rsid w:val="53192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2009-10-09T03:25:00Z</dcterms:created>
  <dc:creator>微软用户</dc:creator>
  <cp:lastModifiedBy>Administrator</cp:lastModifiedBy>
  <cp:lastPrinted>2009-09-27T01:59:00Z</cp:lastPrinted>
  <dcterms:modified xsi:type="dcterms:W3CDTF">2021-09-27T02:26:21Z</dcterms:modified>
  <dc:title>一、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