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黑体" w:hAnsi="黑体" w:eastAsia="黑体"/>
          <w:color w:val="000000"/>
          <w:kern w:val="0"/>
          <w:sz w:val="15"/>
          <w:szCs w:val="15"/>
        </w:rPr>
      </w:pPr>
      <w:r>
        <w:rPr>
          <w:rFonts w:ascii="黑体" w:hAnsi="黑体" w:eastAsia="黑体"/>
          <w:color w:val="000000"/>
          <w:kern w:val="0"/>
          <w:sz w:val="15"/>
          <w:szCs w:val="15"/>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黑体" w:hAnsi="黑体" w:eastAsia="黑体"/>
          <w:color w:val="000000"/>
          <w:kern w:val="0"/>
          <w:sz w:val="15"/>
          <w:szCs w:val="15"/>
        </w:rPr>
        <w:instrText xml:space="preserve">ADDIN CNKISM.UserStyle</w:instrText>
      </w:r>
      <w:r>
        <w:rPr>
          <w:rFonts w:ascii="黑体" w:hAnsi="黑体" w:eastAsia="黑体"/>
          <w:color w:val="000000"/>
          <w:kern w:val="0"/>
          <w:sz w:val="15"/>
          <w:szCs w:val="15"/>
        </w:rPr>
        <w:fldChar w:fldCharType="end"/>
      </w:r>
    </w:p>
    <w:p>
      <w:pPr>
        <w:pStyle w:val="2"/>
        <w:snapToGrid w:val="0"/>
        <w:spacing w:before="240" w:beforeLines="100" w:after="240" w:afterLines="100" w:line="240" w:lineRule="exact"/>
        <w:ind w:firstLine="0" w:firstLineChars="0"/>
        <w:rPr>
          <w:rFonts w:ascii="黑体" w:hAnsi="黑体" w:eastAsia="黑体"/>
          <w:color w:val="000000"/>
          <w:kern w:val="0"/>
          <w:sz w:val="15"/>
          <w:szCs w:val="15"/>
        </w:rPr>
      </w:pPr>
      <w:r>
        <w:rPr>
          <w:rFonts w:ascii="黑体" w:hAnsi="黑体" w:eastAsia="黑体"/>
          <w:color w:val="000000"/>
          <w:kern w:val="0"/>
          <w:sz w:val="15"/>
          <w:szCs w:val="15"/>
        </w:rPr>
        <w:t>附件</w:t>
      </w:r>
      <w:r>
        <w:rPr>
          <w:rFonts w:hint="eastAsia" w:ascii="黑体" w:hAnsi="黑体" w:eastAsia="黑体"/>
          <w:color w:val="000000"/>
          <w:kern w:val="0"/>
          <w:sz w:val="15"/>
          <w:szCs w:val="15"/>
        </w:rPr>
        <w:t>3：</w:t>
      </w:r>
    </w:p>
    <w:p>
      <w:pPr>
        <w:jc w:val="center"/>
        <w:rPr>
          <w:rFonts w:ascii="黑体" w:hAnsi="黑体" w:eastAsia="黑体"/>
          <w:sz w:val="36"/>
          <w:szCs w:val="36"/>
        </w:rPr>
      </w:pPr>
      <w:r>
        <w:rPr>
          <w:rFonts w:hint="eastAsia" w:ascii="黑体" w:hAnsi="黑体" w:eastAsia="黑体"/>
          <w:sz w:val="36"/>
          <w:szCs w:val="36"/>
        </w:rPr>
        <w:t>202</w:t>
      </w:r>
      <w:r>
        <w:rPr>
          <w:rFonts w:hint="eastAsia" w:ascii="黑体" w:hAnsi="黑体" w:eastAsia="黑体"/>
          <w:sz w:val="36"/>
          <w:szCs w:val="36"/>
          <w:lang w:val="en-US" w:eastAsia="zh-CN"/>
        </w:rPr>
        <w:t>2</w:t>
      </w:r>
      <w:r>
        <w:rPr>
          <w:rFonts w:hint="eastAsia" w:ascii="黑体" w:hAnsi="黑体" w:eastAsia="黑体"/>
          <w:sz w:val="36"/>
          <w:szCs w:val="36"/>
        </w:rPr>
        <w:t>年全国硕士研究生招生考试公共管理学</w:t>
      </w:r>
    </w:p>
    <w:p>
      <w:pPr>
        <w:jc w:val="center"/>
      </w:pPr>
      <w:r>
        <w:rPr>
          <w:rFonts w:hint="eastAsia" w:ascii="黑体" w:hAnsi="黑体" w:eastAsia="黑体"/>
          <w:sz w:val="36"/>
          <w:szCs w:val="36"/>
        </w:rPr>
        <w:t>考试大纲</w:t>
      </w:r>
    </w:p>
    <w:p>
      <w:pPr>
        <w:rPr>
          <w:rFonts w:ascii="黑体" w:hAnsi="黑体" w:eastAsia="黑体"/>
        </w:rPr>
      </w:pPr>
      <w:r>
        <w:rPr>
          <w:rFonts w:hint="eastAsia" w:ascii="黑体" w:hAnsi="黑体" w:eastAsia="黑体"/>
        </w:rPr>
        <w:t>Ⅰ</w:t>
      </w:r>
      <w:r>
        <w:rPr>
          <w:rFonts w:ascii="黑体" w:hAnsi="黑体" w:eastAsia="黑体"/>
        </w:rPr>
        <w:t>．考试性质</w:t>
      </w:r>
    </w:p>
    <w:p>
      <w:r>
        <w:t>　　</w:t>
      </w:r>
      <w:r>
        <w:rPr>
          <w:rFonts w:hint="eastAsia"/>
        </w:rPr>
        <w:t>本课程</w:t>
      </w:r>
      <w:r>
        <w:t>是为</w:t>
      </w:r>
      <w:r>
        <w:rPr>
          <w:rFonts w:hint="eastAsia"/>
        </w:rPr>
        <w:t>湖南农业大学</w:t>
      </w:r>
      <w:r>
        <w:t>招收</w:t>
      </w:r>
      <w:r>
        <w:rPr>
          <w:rFonts w:hint="eastAsia"/>
        </w:rPr>
        <w:t>公共管理学术型</w:t>
      </w:r>
      <w:r>
        <w:t>硕士研究生而设置的</w:t>
      </w:r>
      <w:r>
        <w:rPr>
          <w:rFonts w:hint="eastAsia"/>
        </w:rPr>
        <w:t>公共管理知识水平测试课程</w:t>
      </w:r>
      <w:r>
        <w:t>，其目的</w:t>
      </w:r>
      <w:r>
        <w:rPr>
          <w:rFonts w:hint="eastAsia"/>
        </w:rPr>
        <w:t>在于</w:t>
      </w:r>
      <w:r>
        <w:t>有效地测试考生掌握大学本科阶段</w:t>
      </w:r>
      <w:r>
        <w:rPr>
          <w:rFonts w:hint="eastAsia"/>
        </w:rPr>
        <w:t>公共行政学</w:t>
      </w:r>
      <w:r>
        <w:t>的基本知识、基本理论</w:t>
      </w:r>
      <w:r>
        <w:rPr>
          <w:rFonts w:hint="eastAsia"/>
        </w:rPr>
        <w:t>和基本方法</w:t>
      </w:r>
      <w:r>
        <w:t>以及运用</w:t>
      </w:r>
      <w:r>
        <w:rPr>
          <w:rFonts w:hint="eastAsia"/>
        </w:rPr>
        <w:t>公共行政学的基本理论知识和方法</w:t>
      </w:r>
      <w:r>
        <w:t>分析和解决</w:t>
      </w:r>
      <w:r>
        <w:rPr>
          <w:rFonts w:hint="eastAsia"/>
        </w:rPr>
        <w:t>相关</w:t>
      </w:r>
      <w:r>
        <w:t>问题的能力，评价的标准是高等学校本科毕业生能达到的及格或及格以上水平，有利于</w:t>
      </w:r>
      <w:r>
        <w:rPr>
          <w:rFonts w:hint="eastAsia"/>
        </w:rPr>
        <w:t>招生学院</w:t>
      </w:r>
      <w:r>
        <w:t>在专业上择优选拔。</w:t>
      </w:r>
    </w:p>
    <w:p>
      <w:pPr>
        <w:rPr>
          <w:rFonts w:ascii="黑体" w:hAnsi="黑体" w:eastAsia="黑体"/>
        </w:rPr>
      </w:pPr>
      <w:r>
        <w:rPr>
          <w:rFonts w:hint="eastAsia" w:ascii="黑体" w:hAnsi="黑体" w:eastAsia="黑体"/>
        </w:rPr>
        <w:t>Ⅱ</w:t>
      </w:r>
      <w:r>
        <w:rPr>
          <w:rFonts w:ascii="黑体" w:hAnsi="黑体" w:eastAsia="黑体"/>
        </w:rPr>
        <w:t>．考查目标</w:t>
      </w:r>
    </w:p>
    <w:p>
      <w:pPr>
        <w:ind w:firstLine="420"/>
      </w:pPr>
      <w:r>
        <w:rPr>
          <w:rFonts w:hint="eastAsia"/>
        </w:rPr>
        <w:t>本课程</w:t>
      </w:r>
      <w:r>
        <w:t>考试</w:t>
      </w:r>
      <w:r>
        <w:rPr>
          <w:rFonts w:hint="eastAsia"/>
        </w:rPr>
        <w:t>主要包括行政原理与行政体制、行政程式与行政技术、行政行为与法制行政等内容。</w:t>
      </w:r>
      <w:r>
        <w:t>要求考生：</w:t>
      </w:r>
    </w:p>
    <w:p>
      <w:pPr>
        <w:ind w:firstLine="420"/>
      </w:pPr>
      <w:r>
        <w:t>1．</w:t>
      </w:r>
      <w:r>
        <w:rPr>
          <w:rFonts w:hint="eastAsia"/>
        </w:rPr>
        <w:t>较准确掌握公共行政学的基本概念</w:t>
      </w:r>
      <w:r>
        <w:t>。</w:t>
      </w:r>
    </w:p>
    <w:p>
      <w:pPr>
        <w:ind w:firstLine="420"/>
      </w:pPr>
      <w:r>
        <w:t>2．</w:t>
      </w:r>
      <w:r>
        <w:rPr>
          <w:rFonts w:hint="eastAsia"/>
        </w:rPr>
        <w:t>系统地了解公共行政学的基本知识、基本理论和基本方法</w:t>
      </w:r>
      <w:r>
        <w:t>。</w:t>
      </w:r>
    </w:p>
    <w:p>
      <w:pPr>
        <w:ind w:firstLine="420"/>
      </w:pPr>
      <w:r>
        <w:t>3．</w:t>
      </w:r>
      <w:r>
        <w:rPr>
          <w:rFonts w:hint="eastAsia"/>
        </w:rPr>
        <w:t>能够运用公共行政学的基本理论知识和方法分析和解决相关的理论问题和实际问题。</w:t>
      </w:r>
    </w:p>
    <w:p>
      <w:pPr>
        <w:rPr>
          <w:rFonts w:asciiTheme="minorHAnsi" w:hAnsiTheme="minorHAnsi" w:eastAsiaTheme="minorEastAsia"/>
        </w:rPr>
      </w:pPr>
      <w:r>
        <w:rPr>
          <w:rFonts w:hint="eastAsia" w:ascii="黑体" w:hAnsi="黑体" w:eastAsia="黑体"/>
        </w:rPr>
        <w:t>Ⅲ</w:t>
      </w:r>
      <w:r>
        <w:rPr>
          <w:rFonts w:ascii="黑体" w:hAnsi="黑体" w:eastAsia="黑体"/>
        </w:rPr>
        <w:t>．考试形式和试卷结构</w:t>
      </w:r>
    </w:p>
    <w:p>
      <w:pPr>
        <w:rPr>
          <w:rFonts w:ascii="华文中宋" w:hAnsi="华文中宋" w:eastAsia="华文中宋"/>
          <w:b/>
        </w:rPr>
      </w:pPr>
      <w:r>
        <w:t>　　</w:t>
      </w:r>
      <w:r>
        <w:rPr>
          <w:rFonts w:ascii="华文中宋" w:hAnsi="华文中宋" w:eastAsia="华文中宋"/>
          <w:b/>
        </w:rPr>
        <w:t>一、试卷满分及考试时间</w:t>
      </w:r>
    </w:p>
    <w:p>
      <w:r>
        <w:t>　　本试卷满分为150分，考试时间为180分钟。</w:t>
      </w:r>
    </w:p>
    <w:p>
      <w:pPr>
        <w:rPr>
          <w:rFonts w:ascii="华文中宋" w:hAnsi="华文中宋" w:eastAsia="华文中宋"/>
          <w:b/>
        </w:rPr>
      </w:pPr>
      <w:r>
        <w:t>　　</w:t>
      </w:r>
      <w:r>
        <w:rPr>
          <w:rFonts w:ascii="华文中宋" w:hAnsi="华文中宋" w:eastAsia="华文中宋"/>
          <w:b/>
        </w:rPr>
        <w:t>二、答题方式</w:t>
      </w:r>
    </w:p>
    <w:p>
      <w:r>
        <w:t>　　答题方式为闭卷、笔试。</w:t>
      </w:r>
    </w:p>
    <w:p>
      <w:pPr>
        <w:rPr>
          <w:rFonts w:ascii="华文中宋" w:hAnsi="华文中宋" w:eastAsia="华文中宋"/>
          <w:b/>
        </w:rPr>
      </w:pPr>
      <w:r>
        <w:t>　　</w:t>
      </w:r>
      <w:r>
        <w:rPr>
          <w:rFonts w:ascii="华文中宋" w:hAnsi="华文中宋" w:eastAsia="华文中宋"/>
          <w:b/>
        </w:rPr>
        <w:t>三、试卷内容结构</w:t>
      </w:r>
    </w:p>
    <w:p>
      <w:r>
        <w:t>　　</w:t>
      </w:r>
      <w:r>
        <w:rPr>
          <w:rFonts w:hint="eastAsia"/>
        </w:rPr>
        <w:t>公共行政的基本概念</w:t>
      </w:r>
    </w:p>
    <w:p>
      <w:r>
        <w:t>　　</w:t>
      </w:r>
      <w:r>
        <w:rPr>
          <w:rFonts w:hint="eastAsia"/>
        </w:rPr>
        <w:t>公共行政学基本知识和基本理论</w:t>
      </w:r>
    </w:p>
    <w:p>
      <w:r>
        <w:t>　　</w:t>
      </w:r>
      <w:r>
        <w:rPr>
          <w:rFonts w:hint="eastAsia"/>
        </w:rPr>
        <w:t>公共行政理论分析与运用</w:t>
      </w:r>
    </w:p>
    <w:p>
      <w:pPr>
        <w:rPr>
          <w:rFonts w:ascii="华文中宋" w:hAnsi="华文中宋" w:eastAsia="华文中宋"/>
          <w:b/>
        </w:rPr>
      </w:pPr>
      <w:r>
        <w:t>　　</w:t>
      </w:r>
      <w:r>
        <w:rPr>
          <w:rFonts w:ascii="华文中宋" w:hAnsi="华文中宋" w:eastAsia="华文中宋"/>
          <w:b/>
        </w:rPr>
        <w:t>四、试卷题型结构</w:t>
      </w:r>
    </w:p>
    <w:p>
      <w:r>
        <w:t>　　</w:t>
      </w:r>
      <w:r>
        <w:rPr>
          <w:rFonts w:hint="eastAsia"/>
        </w:rPr>
        <w:t>名词解释</w:t>
      </w:r>
      <w:r>
        <w:t>题30分</w:t>
      </w:r>
    </w:p>
    <w:p>
      <w:r>
        <w:t>　　</w:t>
      </w:r>
      <w:r>
        <w:rPr>
          <w:rFonts w:hint="eastAsia"/>
        </w:rPr>
        <w:t>简答</w:t>
      </w:r>
      <w:r>
        <w:t>题60分</w:t>
      </w:r>
    </w:p>
    <w:p>
      <w:r>
        <w:t>　　</w:t>
      </w:r>
      <w:r>
        <w:rPr>
          <w:rFonts w:hint="eastAsia"/>
        </w:rPr>
        <w:t>论述</w:t>
      </w:r>
      <w:r>
        <w:t>题60分</w:t>
      </w:r>
    </w:p>
    <w:p>
      <w:pPr>
        <w:rPr>
          <w:rFonts w:ascii="黑体" w:hAnsi="黑体" w:eastAsia="黑体"/>
        </w:rPr>
      </w:pPr>
      <w:r>
        <w:rPr>
          <w:rFonts w:hint="eastAsia" w:ascii="黑体" w:hAnsi="黑体" w:eastAsia="黑体"/>
        </w:rPr>
        <w:t>Ⅳ</w:t>
      </w:r>
      <w:r>
        <w:rPr>
          <w:rFonts w:ascii="黑体" w:hAnsi="黑体" w:eastAsia="黑体"/>
        </w:rPr>
        <w:t>．考查内容</w:t>
      </w:r>
    </w:p>
    <w:p>
      <w:pPr>
        <w:rPr>
          <w:rFonts w:hint="eastAsia"/>
        </w:rPr>
      </w:pPr>
      <w:r>
        <w:rPr>
          <w:rFonts w:ascii="黑体" w:hAnsi="黑体" w:eastAsia="黑体"/>
        </w:rPr>
        <w:t xml:space="preserve">  </w:t>
      </w:r>
      <w:r>
        <w:t xml:space="preserve">  </w:t>
      </w:r>
      <w:r>
        <w:rPr>
          <w:rFonts w:hint="eastAsia"/>
        </w:rPr>
        <w:t>（一）公共行政学的学科内涵</w:t>
      </w:r>
    </w:p>
    <w:p>
      <w:pPr>
        <w:rPr>
          <w:rFonts w:hint="eastAsia"/>
        </w:rPr>
      </w:pPr>
      <w:r>
        <w:rPr>
          <w:rFonts w:hint="eastAsia"/>
        </w:rPr>
        <w:t xml:space="preserve"> </w:t>
      </w:r>
      <w:r>
        <w:t xml:space="preserve">   </w:t>
      </w:r>
      <w:r>
        <w:rPr>
          <w:rFonts w:hint="eastAsia"/>
        </w:rPr>
        <w:t>公共行政相关核心概念界定；公共行政学发展简史及不同阶段的主要代表人物与思想；国家公共行政管理体制</w:t>
      </w:r>
    </w:p>
    <w:p>
      <w:pPr>
        <w:rPr>
          <w:rFonts w:hint="eastAsia"/>
        </w:rPr>
      </w:pPr>
      <w:r>
        <w:rPr>
          <w:rFonts w:hint="eastAsia"/>
        </w:rPr>
        <w:t xml:space="preserve">    （二）行政职能</w:t>
      </w:r>
    </w:p>
    <w:p>
      <w:pPr>
        <w:ind w:firstLine="420"/>
      </w:pPr>
      <w:r>
        <w:rPr>
          <w:rFonts w:hint="eastAsia"/>
        </w:rPr>
        <w:t>现代政府行政职能问题的由来与发展；行政职能的涵义与构成、关于政府职能的争论</w:t>
      </w:r>
    </w:p>
    <w:p>
      <w:pPr>
        <w:ind w:firstLine="420"/>
        <w:rPr>
          <w:rFonts w:hint="eastAsia"/>
        </w:rPr>
      </w:pPr>
      <w:r>
        <w:rPr>
          <w:rFonts w:hint="eastAsia"/>
        </w:rPr>
        <w:t>（三）行政权力</w:t>
      </w:r>
    </w:p>
    <w:p>
      <w:r>
        <w:rPr>
          <w:rFonts w:hint="eastAsia"/>
        </w:rPr>
        <w:t xml:space="preserve">    行政权力的内涵；行政权力分配；行政授权、行政权力行使</w:t>
      </w:r>
    </w:p>
    <w:p>
      <w:pPr>
        <w:ind w:firstLine="420" w:firstLineChars="200"/>
        <w:jc w:val="left"/>
        <w:rPr>
          <w:rFonts w:hint="eastAsia"/>
        </w:rPr>
      </w:pPr>
      <w:r>
        <w:rPr>
          <w:rFonts w:hint="eastAsia"/>
        </w:rPr>
        <w:t>（四）行政领导</w:t>
      </w:r>
    </w:p>
    <w:p>
      <w:pPr>
        <w:jc w:val="left"/>
      </w:pPr>
      <w:r>
        <w:rPr>
          <w:rFonts w:hint="eastAsia"/>
        </w:rPr>
        <w:t xml:space="preserve">    行政领导概念及内涵；领导者的人生价值观；优秀领导者的品格与基本素质、领导力及其提升</w:t>
      </w:r>
    </w:p>
    <w:p>
      <w:pPr>
        <w:ind w:firstLine="420" w:firstLineChars="200"/>
        <w:jc w:val="left"/>
        <w:rPr>
          <w:rFonts w:hint="eastAsia"/>
        </w:rPr>
      </w:pPr>
      <w:r>
        <w:rPr>
          <w:rFonts w:hint="eastAsia"/>
        </w:rPr>
        <w:t>（五）行政组织</w:t>
      </w:r>
    </w:p>
    <w:p>
      <w:pPr>
        <w:jc w:val="left"/>
        <w:rPr>
          <w:rFonts w:hint="eastAsia"/>
        </w:rPr>
      </w:pPr>
      <w:r>
        <w:rPr>
          <w:rFonts w:hint="eastAsia"/>
        </w:rPr>
        <w:t xml:space="preserve">    行政组织相关概念内涵；组织目标、结构、原则及环境；组织变革</w:t>
      </w:r>
    </w:p>
    <w:p>
      <w:pPr>
        <w:ind w:firstLine="420" w:firstLineChars="200"/>
        <w:jc w:val="left"/>
        <w:rPr>
          <w:rFonts w:hint="eastAsia"/>
        </w:rPr>
      </w:pPr>
      <w:r>
        <w:rPr>
          <w:rFonts w:hint="eastAsia"/>
        </w:rPr>
        <w:t>（六）人事行政</w:t>
      </w:r>
    </w:p>
    <w:p>
      <w:pPr>
        <w:jc w:val="left"/>
      </w:pPr>
      <w:r>
        <w:rPr>
          <w:rFonts w:hint="eastAsia"/>
        </w:rPr>
        <w:t xml:space="preserve">   人事行政相关概念及内涵；职位分类与品位分类；现代人事行政的更新机制、激励机制、行为调控机制；当代西方人事行政的发展；国家公务员制度</w:t>
      </w:r>
    </w:p>
    <w:p>
      <w:pPr>
        <w:ind w:firstLine="420" w:firstLineChars="200"/>
        <w:jc w:val="left"/>
        <w:rPr>
          <w:rFonts w:hint="eastAsia"/>
        </w:rPr>
      </w:pPr>
      <w:r>
        <w:rPr>
          <w:rFonts w:hint="eastAsia"/>
        </w:rPr>
        <w:t>（七）行政决策</w:t>
      </w:r>
    </w:p>
    <w:p>
      <w:pPr>
        <w:jc w:val="left"/>
      </w:pPr>
      <w:r>
        <w:rPr>
          <w:rFonts w:hint="eastAsia"/>
        </w:rPr>
        <w:t xml:space="preserve">   行政决策相关概念及内涵；行政决策体制；行政决策过程</w:t>
      </w:r>
    </w:p>
    <w:p>
      <w:pPr>
        <w:ind w:firstLine="420" w:firstLineChars="200"/>
        <w:jc w:val="left"/>
        <w:rPr>
          <w:rFonts w:hint="eastAsia"/>
        </w:rPr>
      </w:pPr>
      <w:r>
        <w:rPr>
          <w:rFonts w:hint="eastAsia"/>
        </w:rPr>
        <w:t>（八）行政执行</w:t>
      </w:r>
    </w:p>
    <w:p>
      <w:pPr>
        <w:jc w:val="left"/>
      </w:pPr>
      <w:r>
        <w:rPr>
          <w:rFonts w:hint="eastAsia"/>
        </w:rPr>
        <w:t>行政执行相关概念及内涵；行政执行的能力与有效性；行政执行研究的线索、途径和模型；行政执行的方式</w:t>
      </w:r>
    </w:p>
    <w:p>
      <w:pPr>
        <w:ind w:firstLine="420" w:firstLineChars="200"/>
        <w:jc w:val="left"/>
        <w:rPr>
          <w:rFonts w:hint="eastAsia"/>
        </w:rPr>
      </w:pPr>
      <w:r>
        <w:rPr>
          <w:rFonts w:hint="eastAsia"/>
        </w:rPr>
        <w:t>（九）行政方法</w:t>
      </w:r>
    </w:p>
    <w:p>
      <w:pPr>
        <w:jc w:val="left"/>
        <w:rPr>
          <w:rFonts w:hint="eastAsia"/>
        </w:rPr>
      </w:pPr>
      <w:r>
        <w:rPr>
          <w:rFonts w:hint="eastAsia"/>
        </w:rPr>
        <w:t xml:space="preserve">    行政基本方法；行政程序；行政计划；行政技术</w:t>
      </w:r>
    </w:p>
    <w:p>
      <w:pPr>
        <w:jc w:val="left"/>
        <w:rPr>
          <w:rFonts w:hint="eastAsia"/>
        </w:rPr>
      </w:pPr>
      <w:r>
        <w:rPr>
          <w:rFonts w:hint="eastAsia"/>
        </w:rPr>
        <w:t xml:space="preserve">    （十）行政效率</w:t>
      </w:r>
    </w:p>
    <w:p>
      <w:pPr>
        <w:jc w:val="left"/>
      </w:pPr>
      <w:r>
        <w:rPr>
          <w:rFonts w:hint="eastAsia"/>
        </w:rPr>
        <w:t xml:space="preserve">    行政效率相关概念及内涵；行政效率测定与绩效评估；行政效率测定的方法与技术</w:t>
      </w:r>
    </w:p>
    <w:p>
      <w:pPr>
        <w:jc w:val="left"/>
        <w:rPr>
          <w:rFonts w:hint="eastAsia"/>
        </w:rPr>
      </w:pPr>
      <w:r>
        <w:rPr>
          <w:rFonts w:hint="eastAsia"/>
        </w:rPr>
        <w:t xml:space="preserve"> </w:t>
      </w:r>
      <w:r>
        <w:t xml:space="preserve">   </w:t>
      </w:r>
      <w:r>
        <w:rPr>
          <w:rFonts w:hint="eastAsia"/>
        </w:rPr>
        <w:t>（十一）公共财政</w:t>
      </w:r>
    </w:p>
    <w:p>
      <w:pPr>
        <w:jc w:val="left"/>
      </w:pPr>
      <w:r>
        <w:rPr>
          <w:rFonts w:hint="eastAsia"/>
        </w:rPr>
        <w:t xml:space="preserve">   公共财政的职能与国家预算；公共财政支出与收入；公共财政政策</w:t>
      </w:r>
    </w:p>
    <w:p>
      <w:pPr>
        <w:ind w:firstLine="420" w:firstLineChars="200"/>
        <w:jc w:val="left"/>
        <w:rPr>
          <w:rFonts w:hint="eastAsia"/>
        </w:rPr>
      </w:pPr>
      <w:r>
        <w:rPr>
          <w:rFonts w:hint="eastAsia"/>
        </w:rPr>
        <w:t>（十二）依法行政</w:t>
      </w:r>
    </w:p>
    <w:p>
      <w:pPr>
        <w:jc w:val="left"/>
        <w:rPr>
          <w:rFonts w:hint="eastAsia"/>
        </w:rPr>
      </w:pPr>
      <w:r>
        <w:rPr>
          <w:rFonts w:hint="eastAsia"/>
        </w:rPr>
        <w:t xml:space="preserve">    依法行政的历史缘由和发展；依法行政的理论基础；依法行政的制度机制</w:t>
      </w:r>
    </w:p>
    <w:p>
      <w:pPr>
        <w:ind w:firstLine="420" w:firstLineChars="200"/>
        <w:jc w:val="left"/>
        <w:rPr>
          <w:rFonts w:hint="eastAsia"/>
        </w:rPr>
      </w:pPr>
      <w:r>
        <w:rPr>
          <w:rFonts w:hint="eastAsia"/>
        </w:rPr>
        <w:t>（十三）行政行为</w:t>
      </w:r>
    </w:p>
    <w:p>
      <w:pPr>
        <w:ind w:firstLine="435"/>
        <w:jc w:val="left"/>
      </w:pPr>
      <w:r>
        <w:rPr>
          <w:rFonts w:hint="eastAsia"/>
        </w:rPr>
        <w:t>行政行为相关概念及内涵；行政行为的功能；行政行为的基本方式；行政行为的合法要件；行政违法、行政不当及其行政法律责任</w:t>
      </w:r>
    </w:p>
    <w:p>
      <w:pPr>
        <w:ind w:firstLine="435"/>
        <w:jc w:val="left"/>
        <w:rPr>
          <w:rFonts w:hint="eastAsia"/>
        </w:rPr>
      </w:pPr>
      <w:r>
        <w:rPr>
          <w:rFonts w:hint="eastAsia"/>
        </w:rPr>
        <w:t>（十四）法制行政</w:t>
      </w:r>
    </w:p>
    <w:p>
      <w:pPr>
        <w:ind w:firstLine="435"/>
        <w:jc w:val="left"/>
      </w:pPr>
      <w:r>
        <w:rPr>
          <w:rFonts w:hint="eastAsia"/>
        </w:rPr>
        <w:t>法制行政相关概念及内涵；行政监督；法制监督；社会监督</w:t>
      </w:r>
    </w:p>
    <w:p>
      <w:pPr>
        <w:ind w:firstLine="435"/>
        <w:jc w:val="left"/>
        <w:rPr>
          <w:rFonts w:hint="eastAsia"/>
        </w:rPr>
      </w:pPr>
      <w:r>
        <w:rPr>
          <w:rFonts w:hint="eastAsia"/>
        </w:rPr>
        <w:t>（十五）行政责任与伦理</w:t>
      </w:r>
    </w:p>
    <w:p>
      <w:pPr>
        <w:ind w:firstLine="435"/>
        <w:jc w:val="left"/>
      </w:pPr>
      <w:r>
        <w:rPr>
          <w:rFonts w:hint="eastAsia"/>
        </w:rPr>
        <w:t>行政责任与伦理相关概念与内涵；行政责任的确定；行政伦理的结构与功能；政伦理制度化</w:t>
      </w:r>
    </w:p>
    <w:p>
      <w:pPr>
        <w:ind w:firstLine="435"/>
        <w:jc w:val="left"/>
        <w:rPr>
          <w:rFonts w:hint="eastAsia"/>
        </w:rPr>
      </w:pPr>
      <w:r>
        <w:rPr>
          <w:rFonts w:hint="eastAsia"/>
        </w:rPr>
        <w:t>（十六）现代政府能力</w:t>
      </w:r>
    </w:p>
    <w:p>
      <w:pPr>
        <w:ind w:firstLine="435"/>
        <w:jc w:val="left"/>
      </w:pPr>
      <w:r>
        <w:rPr>
          <w:rFonts w:hint="eastAsia"/>
        </w:rPr>
        <w:t>现代政府能力的内涵；现代政府能力的构成</w:t>
      </w:r>
    </w:p>
    <w:p>
      <w:pPr>
        <w:ind w:firstLine="435"/>
        <w:jc w:val="left"/>
      </w:pPr>
      <w:r>
        <w:rPr>
          <w:rFonts w:hint="eastAsia"/>
        </w:rPr>
        <w:t>（十七）当代中国行政改革</w:t>
      </w:r>
    </w:p>
    <w:p>
      <w:pPr>
        <w:ind w:firstLine="435"/>
        <w:jc w:val="left"/>
      </w:pPr>
      <w:r>
        <w:rPr>
          <w:rFonts w:hint="eastAsia"/>
        </w:rPr>
        <w:t>我国政府机构改革的历史沿革与发展；当代中国行政改革的基本价值选择；行政改革的阻力、动力与对策；行政改革的发展趋势</w:t>
      </w:r>
    </w:p>
    <w:p>
      <w:pPr>
        <w:jc w:val="left"/>
      </w:pPr>
    </w:p>
    <w:p>
      <w:pPr>
        <w:jc w:val="left"/>
      </w:pPr>
      <w:bookmarkStart w:id="0" w:name="_GoBack"/>
      <w:bookmarkEnd w:id="0"/>
    </w:p>
    <w:sectPr>
      <w:pgSz w:w="11906" w:h="16838"/>
      <w:pgMar w:top="1418" w:right="1134" w:bottom="1134" w:left="1134" w:header="851" w:footer="992" w:gutter="0"/>
      <w:cols w:space="425" w:num="1"/>
      <w:docGrid w:linePitch="323" w:charSpace="-353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HorizontalSpacing w:val="96"/>
  <w:drawingGridVerticalSpacing w:val="323"/>
  <w:displayHorizontalDrawingGridEvery w:val="0"/>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A15"/>
    <w:rsid w:val="00002A5C"/>
    <w:rsid w:val="00006F1E"/>
    <w:rsid w:val="000142B9"/>
    <w:rsid w:val="00021372"/>
    <w:rsid w:val="00022A0F"/>
    <w:rsid w:val="0004471B"/>
    <w:rsid w:val="00053B9C"/>
    <w:rsid w:val="00057C79"/>
    <w:rsid w:val="00063661"/>
    <w:rsid w:val="00071B57"/>
    <w:rsid w:val="00075DD8"/>
    <w:rsid w:val="00081A92"/>
    <w:rsid w:val="000927EA"/>
    <w:rsid w:val="00093F5E"/>
    <w:rsid w:val="00094349"/>
    <w:rsid w:val="00097386"/>
    <w:rsid w:val="000A3F4C"/>
    <w:rsid w:val="000A585B"/>
    <w:rsid w:val="000A70D5"/>
    <w:rsid w:val="000B402B"/>
    <w:rsid w:val="000B6868"/>
    <w:rsid w:val="000C3E02"/>
    <w:rsid w:val="000C473D"/>
    <w:rsid w:val="000C7075"/>
    <w:rsid w:val="000D2C06"/>
    <w:rsid w:val="000D34D7"/>
    <w:rsid w:val="000D3E06"/>
    <w:rsid w:val="000D3F91"/>
    <w:rsid w:val="000D6D60"/>
    <w:rsid w:val="000E35FD"/>
    <w:rsid w:val="001010CD"/>
    <w:rsid w:val="001055C1"/>
    <w:rsid w:val="0010740E"/>
    <w:rsid w:val="001172ED"/>
    <w:rsid w:val="001423CE"/>
    <w:rsid w:val="001467C2"/>
    <w:rsid w:val="00147B67"/>
    <w:rsid w:val="0015224A"/>
    <w:rsid w:val="00153D62"/>
    <w:rsid w:val="001548B6"/>
    <w:rsid w:val="00155623"/>
    <w:rsid w:val="00155CF3"/>
    <w:rsid w:val="0016195D"/>
    <w:rsid w:val="0016247E"/>
    <w:rsid w:val="00164C02"/>
    <w:rsid w:val="00171D4D"/>
    <w:rsid w:val="0017335F"/>
    <w:rsid w:val="00182826"/>
    <w:rsid w:val="0018386E"/>
    <w:rsid w:val="00187CF5"/>
    <w:rsid w:val="001962B0"/>
    <w:rsid w:val="00196325"/>
    <w:rsid w:val="00196F51"/>
    <w:rsid w:val="001A673C"/>
    <w:rsid w:val="001A7371"/>
    <w:rsid w:val="001B3E6A"/>
    <w:rsid w:val="001C1D30"/>
    <w:rsid w:val="001D3B16"/>
    <w:rsid w:val="001D4033"/>
    <w:rsid w:val="001E0818"/>
    <w:rsid w:val="001F4FDC"/>
    <w:rsid w:val="001F5AB5"/>
    <w:rsid w:val="001F5C2A"/>
    <w:rsid w:val="001F7628"/>
    <w:rsid w:val="0020584A"/>
    <w:rsid w:val="002101AE"/>
    <w:rsid w:val="00213B50"/>
    <w:rsid w:val="00215CD8"/>
    <w:rsid w:val="00226584"/>
    <w:rsid w:val="00232D9C"/>
    <w:rsid w:val="00233EE4"/>
    <w:rsid w:val="002400CF"/>
    <w:rsid w:val="002407BA"/>
    <w:rsid w:val="00245727"/>
    <w:rsid w:val="00247047"/>
    <w:rsid w:val="00253B39"/>
    <w:rsid w:val="00263004"/>
    <w:rsid w:val="00263CBE"/>
    <w:rsid w:val="00263DF5"/>
    <w:rsid w:val="00264088"/>
    <w:rsid w:val="002712E6"/>
    <w:rsid w:val="002734DC"/>
    <w:rsid w:val="002857D8"/>
    <w:rsid w:val="002863E2"/>
    <w:rsid w:val="002877EE"/>
    <w:rsid w:val="002A4159"/>
    <w:rsid w:val="002B1581"/>
    <w:rsid w:val="002B2D38"/>
    <w:rsid w:val="002B42D5"/>
    <w:rsid w:val="002B580A"/>
    <w:rsid w:val="002B5E6C"/>
    <w:rsid w:val="002B7626"/>
    <w:rsid w:val="002E662C"/>
    <w:rsid w:val="002E68D7"/>
    <w:rsid w:val="00304198"/>
    <w:rsid w:val="00315F45"/>
    <w:rsid w:val="003444DD"/>
    <w:rsid w:val="00347AA4"/>
    <w:rsid w:val="003537DE"/>
    <w:rsid w:val="00357E3D"/>
    <w:rsid w:val="003601A4"/>
    <w:rsid w:val="0037604E"/>
    <w:rsid w:val="00377C7B"/>
    <w:rsid w:val="0038212D"/>
    <w:rsid w:val="00384FFB"/>
    <w:rsid w:val="00385209"/>
    <w:rsid w:val="00386D48"/>
    <w:rsid w:val="00387757"/>
    <w:rsid w:val="00390EFB"/>
    <w:rsid w:val="00395B87"/>
    <w:rsid w:val="003A3593"/>
    <w:rsid w:val="003B04F8"/>
    <w:rsid w:val="003B1FB2"/>
    <w:rsid w:val="003B702F"/>
    <w:rsid w:val="003C02F2"/>
    <w:rsid w:val="003C4A1C"/>
    <w:rsid w:val="003D0AE7"/>
    <w:rsid w:val="003D478A"/>
    <w:rsid w:val="003D47E0"/>
    <w:rsid w:val="003D601A"/>
    <w:rsid w:val="003D70D9"/>
    <w:rsid w:val="003E34DF"/>
    <w:rsid w:val="00407CAF"/>
    <w:rsid w:val="00424AC6"/>
    <w:rsid w:val="00427EE3"/>
    <w:rsid w:val="00433D28"/>
    <w:rsid w:val="00434D46"/>
    <w:rsid w:val="00435381"/>
    <w:rsid w:val="00444531"/>
    <w:rsid w:val="00447252"/>
    <w:rsid w:val="00452A63"/>
    <w:rsid w:val="004607EC"/>
    <w:rsid w:val="004609D2"/>
    <w:rsid w:val="004638FC"/>
    <w:rsid w:val="0046690D"/>
    <w:rsid w:val="00477345"/>
    <w:rsid w:val="00482B27"/>
    <w:rsid w:val="0048594F"/>
    <w:rsid w:val="004942D7"/>
    <w:rsid w:val="004963E7"/>
    <w:rsid w:val="004B38BC"/>
    <w:rsid w:val="004B5C0D"/>
    <w:rsid w:val="004C3AAA"/>
    <w:rsid w:val="004D60CB"/>
    <w:rsid w:val="004D7604"/>
    <w:rsid w:val="004E2CA0"/>
    <w:rsid w:val="004F0A69"/>
    <w:rsid w:val="004F2D0C"/>
    <w:rsid w:val="004F2E63"/>
    <w:rsid w:val="00504404"/>
    <w:rsid w:val="0051149E"/>
    <w:rsid w:val="005118F3"/>
    <w:rsid w:val="00514378"/>
    <w:rsid w:val="00516461"/>
    <w:rsid w:val="00522010"/>
    <w:rsid w:val="0052319F"/>
    <w:rsid w:val="00531821"/>
    <w:rsid w:val="005347BE"/>
    <w:rsid w:val="005429D4"/>
    <w:rsid w:val="0054366F"/>
    <w:rsid w:val="005506FB"/>
    <w:rsid w:val="00555BC6"/>
    <w:rsid w:val="00586EC4"/>
    <w:rsid w:val="005875D2"/>
    <w:rsid w:val="00587B52"/>
    <w:rsid w:val="00591027"/>
    <w:rsid w:val="005917AC"/>
    <w:rsid w:val="005966FE"/>
    <w:rsid w:val="005A1FFB"/>
    <w:rsid w:val="005C3A72"/>
    <w:rsid w:val="005D0F90"/>
    <w:rsid w:val="005D2493"/>
    <w:rsid w:val="005D3A0C"/>
    <w:rsid w:val="005E1D94"/>
    <w:rsid w:val="005E4A3C"/>
    <w:rsid w:val="005E7156"/>
    <w:rsid w:val="005F2B82"/>
    <w:rsid w:val="005F35D5"/>
    <w:rsid w:val="0060054D"/>
    <w:rsid w:val="00607AFF"/>
    <w:rsid w:val="006101CB"/>
    <w:rsid w:val="0061101F"/>
    <w:rsid w:val="00615EAA"/>
    <w:rsid w:val="00616111"/>
    <w:rsid w:val="0061638E"/>
    <w:rsid w:val="00622F14"/>
    <w:rsid w:val="00623D87"/>
    <w:rsid w:val="00626B6D"/>
    <w:rsid w:val="00632A9A"/>
    <w:rsid w:val="00633982"/>
    <w:rsid w:val="00633FDA"/>
    <w:rsid w:val="006416D1"/>
    <w:rsid w:val="006452A4"/>
    <w:rsid w:val="00652FAD"/>
    <w:rsid w:val="00656FDF"/>
    <w:rsid w:val="0066577F"/>
    <w:rsid w:val="00666D6B"/>
    <w:rsid w:val="006700D7"/>
    <w:rsid w:val="0067147C"/>
    <w:rsid w:val="006731B9"/>
    <w:rsid w:val="006744AC"/>
    <w:rsid w:val="00677341"/>
    <w:rsid w:val="00682A5E"/>
    <w:rsid w:val="00683794"/>
    <w:rsid w:val="006902AF"/>
    <w:rsid w:val="006957A2"/>
    <w:rsid w:val="006B6B31"/>
    <w:rsid w:val="006C150E"/>
    <w:rsid w:val="006D16CF"/>
    <w:rsid w:val="006D225F"/>
    <w:rsid w:val="006D73B2"/>
    <w:rsid w:val="006E0DED"/>
    <w:rsid w:val="006E3025"/>
    <w:rsid w:val="006E30F3"/>
    <w:rsid w:val="006F0F30"/>
    <w:rsid w:val="006F33D6"/>
    <w:rsid w:val="006F4976"/>
    <w:rsid w:val="006F7659"/>
    <w:rsid w:val="00710C8D"/>
    <w:rsid w:val="00715B0D"/>
    <w:rsid w:val="00717389"/>
    <w:rsid w:val="00720D86"/>
    <w:rsid w:val="00722768"/>
    <w:rsid w:val="00722883"/>
    <w:rsid w:val="00743B15"/>
    <w:rsid w:val="00744B27"/>
    <w:rsid w:val="007456F0"/>
    <w:rsid w:val="007458C2"/>
    <w:rsid w:val="007458F8"/>
    <w:rsid w:val="00753B2D"/>
    <w:rsid w:val="007558AF"/>
    <w:rsid w:val="00760E7E"/>
    <w:rsid w:val="0076678C"/>
    <w:rsid w:val="0077013C"/>
    <w:rsid w:val="00772EBC"/>
    <w:rsid w:val="00782806"/>
    <w:rsid w:val="0078520F"/>
    <w:rsid w:val="007861F9"/>
    <w:rsid w:val="007875D3"/>
    <w:rsid w:val="007923EC"/>
    <w:rsid w:val="00792DF7"/>
    <w:rsid w:val="00797BCE"/>
    <w:rsid w:val="007B1F4B"/>
    <w:rsid w:val="007B5252"/>
    <w:rsid w:val="007B5B1B"/>
    <w:rsid w:val="007B5E20"/>
    <w:rsid w:val="007C15FA"/>
    <w:rsid w:val="007C5D9D"/>
    <w:rsid w:val="007C67C1"/>
    <w:rsid w:val="007E2CF2"/>
    <w:rsid w:val="007F6A41"/>
    <w:rsid w:val="008034E7"/>
    <w:rsid w:val="0080549B"/>
    <w:rsid w:val="00810912"/>
    <w:rsid w:val="00826E54"/>
    <w:rsid w:val="0083460B"/>
    <w:rsid w:val="008375AE"/>
    <w:rsid w:val="008376DF"/>
    <w:rsid w:val="0084396E"/>
    <w:rsid w:val="00847B8E"/>
    <w:rsid w:val="00850FC0"/>
    <w:rsid w:val="00851026"/>
    <w:rsid w:val="00852944"/>
    <w:rsid w:val="00862F40"/>
    <w:rsid w:val="008656DD"/>
    <w:rsid w:val="00871C4B"/>
    <w:rsid w:val="00876237"/>
    <w:rsid w:val="00884D4D"/>
    <w:rsid w:val="00887440"/>
    <w:rsid w:val="00890559"/>
    <w:rsid w:val="0089297C"/>
    <w:rsid w:val="0089354A"/>
    <w:rsid w:val="008936E4"/>
    <w:rsid w:val="0089783C"/>
    <w:rsid w:val="00897F88"/>
    <w:rsid w:val="008A237D"/>
    <w:rsid w:val="008A4A04"/>
    <w:rsid w:val="008A6ADA"/>
    <w:rsid w:val="008C1DA9"/>
    <w:rsid w:val="008C7F38"/>
    <w:rsid w:val="008C7FFC"/>
    <w:rsid w:val="008D3202"/>
    <w:rsid w:val="008D47A1"/>
    <w:rsid w:val="008D584E"/>
    <w:rsid w:val="008E21A3"/>
    <w:rsid w:val="008E4047"/>
    <w:rsid w:val="008E5985"/>
    <w:rsid w:val="008E6CD8"/>
    <w:rsid w:val="008F7632"/>
    <w:rsid w:val="00901C1F"/>
    <w:rsid w:val="009137CB"/>
    <w:rsid w:val="0091578D"/>
    <w:rsid w:val="00917E5E"/>
    <w:rsid w:val="00925A85"/>
    <w:rsid w:val="00931669"/>
    <w:rsid w:val="009403B1"/>
    <w:rsid w:val="00951421"/>
    <w:rsid w:val="009526CD"/>
    <w:rsid w:val="00953363"/>
    <w:rsid w:val="009675A5"/>
    <w:rsid w:val="00970A7C"/>
    <w:rsid w:val="0097437F"/>
    <w:rsid w:val="00976A9C"/>
    <w:rsid w:val="009830F3"/>
    <w:rsid w:val="00984A1F"/>
    <w:rsid w:val="0098605F"/>
    <w:rsid w:val="009952D5"/>
    <w:rsid w:val="00995E03"/>
    <w:rsid w:val="009A0A83"/>
    <w:rsid w:val="009A26C0"/>
    <w:rsid w:val="009C0F1F"/>
    <w:rsid w:val="009C18D7"/>
    <w:rsid w:val="009D1B5C"/>
    <w:rsid w:val="009D24F1"/>
    <w:rsid w:val="009D31A4"/>
    <w:rsid w:val="009D60F1"/>
    <w:rsid w:val="009E560D"/>
    <w:rsid w:val="009E6BE9"/>
    <w:rsid w:val="009F2B66"/>
    <w:rsid w:val="009F5C63"/>
    <w:rsid w:val="00A0191E"/>
    <w:rsid w:val="00A02106"/>
    <w:rsid w:val="00A04BD0"/>
    <w:rsid w:val="00A14B46"/>
    <w:rsid w:val="00A16113"/>
    <w:rsid w:val="00A26661"/>
    <w:rsid w:val="00A27C4B"/>
    <w:rsid w:val="00A32C95"/>
    <w:rsid w:val="00A35264"/>
    <w:rsid w:val="00A3770C"/>
    <w:rsid w:val="00A4021D"/>
    <w:rsid w:val="00A40C9B"/>
    <w:rsid w:val="00A420C4"/>
    <w:rsid w:val="00A42781"/>
    <w:rsid w:val="00A619D9"/>
    <w:rsid w:val="00A67269"/>
    <w:rsid w:val="00A76648"/>
    <w:rsid w:val="00A7687B"/>
    <w:rsid w:val="00A76D6F"/>
    <w:rsid w:val="00A82CC0"/>
    <w:rsid w:val="00A83CB7"/>
    <w:rsid w:val="00A8543B"/>
    <w:rsid w:val="00AA7A36"/>
    <w:rsid w:val="00AB682D"/>
    <w:rsid w:val="00AC3AEA"/>
    <w:rsid w:val="00AC6EE3"/>
    <w:rsid w:val="00AD0F3E"/>
    <w:rsid w:val="00AD6852"/>
    <w:rsid w:val="00AE627C"/>
    <w:rsid w:val="00AE64A4"/>
    <w:rsid w:val="00AF3549"/>
    <w:rsid w:val="00AF78A7"/>
    <w:rsid w:val="00B33CC6"/>
    <w:rsid w:val="00B352B6"/>
    <w:rsid w:val="00B3585C"/>
    <w:rsid w:val="00B41E39"/>
    <w:rsid w:val="00B47726"/>
    <w:rsid w:val="00B51969"/>
    <w:rsid w:val="00B564FF"/>
    <w:rsid w:val="00B73582"/>
    <w:rsid w:val="00B77C82"/>
    <w:rsid w:val="00B8107B"/>
    <w:rsid w:val="00BC0619"/>
    <w:rsid w:val="00BC1DBF"/>
    <w:rsid w:val="00BC3677"/>
    <w:rsid w:val="00BD1725"/>
    <w:rsid w:val="00BD6430"/>
    <w:rsid w:val="00BF3ABB"/>
    <w:rsid w:val="00BF76DF"/>
    <w:rsid w:val="00C00BA2"/>
    <w:rsid w:val="00C0294C"/>
    <w:rsid w:val="00C14E4D"/>
    <w:rsid w:val="00C2754B"/>
    <w:rsid w:val="00C33818"/>
    <w:rsid w:val="00C34F34"/>
    <w:rsid w:val="00C35D66"/>
    <w:rsid w:val="00C37719"/>
    <w:rsid w:val="00C606DC"/>
    <w:rsid w:val="00C731FB"/>
    <w:rsid w:val="00C73D3D"/>
    <w:rsid w:val="00C74BE9"/>
    <w:rsid w:val="00C819B3"/>
    <w:rsid w:val="00C85A5C"/>
    <w:rsid w:val="00C916F3"/>
    <w:rsid w:val="00C9349A"/>
    <w:rsid w:val="00C94F58"/>
    <w:rsid w:val="00CA18DC"/>
    <w:rsid w:val="00CB2F8F"/>
    <w:rsid w:val="00CB548E"/>
    <w:rsid w:val="00CB69F5"/>
    <w:rsid w:val="00CC3CD9"/>
    <w:rsid w:val="00CC52C9"/>
    <w:rsid w:val="00CC788A"/>
    <w:rsid w:val="00CD0ACD"/>
    <w:rsid w:val="00CD488E"/>
    <w:rsid w:val="00CE0B79"/>
    <w:rsid w:val="00CE6AC9"/>
    <w:rsid w:val="00CF16DE"/>
    <w:rsid w:val="00D01BCD"/>
    <w:rsid w:val="00D2031A"/>
    <w:rsid w:val="00D23B98"/>
    <w:rsid w:val="00D42592"/>
    <w:rsid w:val="00D501D8"/>
    <w:rsid w:val="00D50F88"/>
    <w:rsid w:val="00D54F9E"/>
    <w:rsid w:val="00D604DE"/>
    <w:rsid w:val="00D640AD"/>
    <w:rsid w:val="00D7373B"/>
    <w:rsid w:val="00D74290"/>
    <w:rsid w:val="00D74897"/>
    <w:rsid w:val="00D8154A"/>
    <w:rsid w:val="00DA0716"/>
    <w:rsid w:val="00DB2642"/>
    <w:rsid w:val="00DB2B3E"/>
    <w:rsid w:val="00DB3E7A"/>
    <w:rsid w:val="00DB5A20"/>
    <w:rsid w:val="00DD2F13"/>
    <w:rsid w:val="00DE2066"/>
    <w:rsid w:val="00DF72FA"/>
    <w:rsid w:val="00E01DAD"/>
    <w:rsid w:val="00E032FE"/>
    <w:rsid w:val="00E10130"/>
    <w:rsid w:val="00E13C52"/>
    <w:rsid w:val="00E16D06"/>
    <w:rsid w:val="00E26282"/>
    <w:rsid w:val="00E3397F"/>
    <w:rsid w:val="00E37BFB"/>
    <w:rsid w:val="00E40EB6"/>
    <w:rsid w:val="00E4240F"/>
    <w:rsid w:val="00E543C5"/>
    <w:rsid w:val="00E55925"/>
    <w:rsid w:val="00E55F14"/>
    <w:rsid w:val="00E5719A"/>
    <w:rsid w:val="00E602CC"/>
    <w:rsid w:val="00E61139"/>
    <w:rsid w:val="00E61DC2"/>
    <w:rsid w:val="00E64E87"/>
    <w:rsid w:val="00E65B23"/>
    <w:rsid w:val="00E70F16"/>
    <w:rsid w:val="00E7138A"/>
    <w:rsid w:val="00E74EE5"/>
    <w:rsid w:val="00E83972"/>
    <w:rsid w:val="00E916C8"/>
    <w:rsid w:val="00EA3F3C"/>
    <w:rsid w:val="00EB022D"/>
    <w:rsid w:val="00EB31EF"/>
    <w:rsid w:val="00EC3C1E"/>
    <w:rsid w:val="00EC4D3C"/>
    <w:rsid w:val="00ED0AB8"/>
    <w:rsid w:val="00EE25B4"/>
    <w:rsid w:val="00F0239A"/>
    <w:rsid w:val="00F07511"/>
    <w:rsid w:val="00F104C0"/>
    <w:rsid w:val="00F106BD"/>
    <w:rsid w:val="00F1123C"/>
    <w:rsid w:val="00F21E1F"/>
    <w:rsid w:val="00F22C6A"/>
    <w:rsid w:val="00F23907"/>
    <w:rsid w:val="00F24384"/>
    <w:rsid w:val="00F258DA"/>
    <w:rsid w:val="00F262C1"/>
    <w:rsid w:val="00F4135D"/>
    <w:rsid w:val="00F51555"/>
    <w:rsid w:val="00F53214"/>
    <w:rsid w:val="00F53BDF"/>
    <w:rsid w:val="00F561C6"/>
    <w:rsid w:val="00F61EA8"/>
    <w:rsid w:val="00F6206F"/>
    <w:rsid w:val="00F636C8"/>
    <w:rsid w:val="00F6587E"/>
    <w:rsid w:val="00F739CF"/>
    <w:rsid w:val="00F73A15"/>
    <w:rsid w:val="00F76BA4"/>
    <w:rsid w:val="00F9215C"/>
    <w:rsid w:val="00F96704"/>
    <w:rsid w:val="00FA024C"/>
    <w:rsid w:val="00FA14C9"/>
    <w:rsid w:val="00FA18C0"/>
    <w:rsid w:val="00FA7B6C"/>
    <w:rsid w:val="00FB0C6C"/>
    <w:rsid w:val="00FB5D30"/>
    <w:rsid w:val="00FD7559"/>
    <w:rsid w:val="00FE35BD"/>
    <w:rsid w:val="00FF66DE"/>
    <w:rsid w:val="6DB368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13"/>
    <w:unhideWhenUsed/>
    <w:uiPriority w:val="99"/>
    <w:pPr>
      <w:spacing w:beforeLines="30" w:line="480" w:lineRule="exact"/>
      <w:ind w:firstLine="520" w:firstLineChars="200"/>
    </w:pPr>
    <w:rPr>
      <w:rFonts w:hAnsi="宋体"/>
      <w:sz w:val="26"/>
      <w:szCs w:val="32"/>
    </w:rPr>
  </w:style>
  <w:style w:type="paragraph" w:styleId="3">
    <w:name w:val="Balloon Text"/>
    <w:basedOn w:val="1"/>
    <w:semiHidden/>
    <w:uiPriority w:val="0"/>
    <w:rPr>
      <w:sz w:val="18"/>
      <w:szCs w:val="18"/>
    </w:rPr>
  </w:style>
  <w:style w:type="paragraph" w:styleId="4">
    <w:name w:val="footer"/>
    <w:basedOn w:val="1"/>
    <w:link w:val="11"/>
    <w:uiPriority w:val="0"/>
    <w:pPr>
      <w:tabs>
        <w:tab w:val="center" w:pos="4153"/>
        <w:tab w:val="right" w:pos="8306"/>
      </w:tabs>
      <w:snapToGrid w:val="0"/>
      <w:jc w:val="left"/>
    </w:pPr>
    <w:rPr>
      <w:sz w:val="18"/>
      <w:szCs w:val="18"/>
    </w:rPr>
  </w:style>
  <w:style w:type="paragraph" w:styleId="5">
    <w:name w:val="header"/>
    <w:basedOn w:val="1"/>
    <w:link w:val="10"/>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uiPriority w:val="0"/>
    <w:rPr>
      <w:color w:val="0000FF"/>
      <w:u w:val="single"/>
    </w:rPr>
  </w:style>
  <w:style w:type="character" w:customStyle="1" w:styleId="10">
    <w:name w:val="页眉 字符"/>
    <w:link w:val="5"/>
    <w:uiPriority w:val="0"/>
    <w:rPr>
      <w:kern w:val="2"/>
      <w:sz w:val="18"/>
      <w:szCs w:val="18"/>
    </w:rPr>
  </w:style>
  <w:style w:type="character" w:customStyle="1" w:styleId="11">
    <w:name w:val="页脚 字符"/>
    <w:link w:val="4"/>
    <w:qFormat/>
    <w:uiPriority w:val="0"/>
    <w:rPr>
      <w:kern w:val="2"/>
      <w:sz w:val="18"/>
      <w:szCs w:val="18"/>
    </w:rPr>
  </w:style>
  <w:style w:type="character" w:customStyle="1" w:styleId="12">
    <w:name w:val="apple-converted-space"/>
    <w:basedOn w:val="8"/>
    <w:uiPriority w:val="0"/>
  </w:style>
  <w:style w:type="character" w:customStyle="1" w:styleId="13">
    <w:name w:val="正文文本缩进 字符"/>
    <w:link w:val="2"/>
    <w:uiPriority w:val="99"/>
    <w:rPr>
      <w:rFonts w:hAnsi="宋体"/>
      <w:kern w:val="2"/>
      <w:sz w:val="26"/>
      <w:szCs w:val="32"/>
    </w:rPr>
  </w:style>
  <w:style w:type="paragraph" w:customStyle="1" w:styleId="14">
    <w:name w:val="Default"/>
    <w:qFormat/>
    <w:uiPriority w:val="0"/>
    <w:pPr>
      <w:widowControl w:val="0"/>
      <w:autoSpaceDE w:val="0"/>
      <w:autoSpaceDN w:val="0"/>
      <w:adjustRightInd w:val="0"/>
    </w:pPr>
    <w:rPr>
      <w:rFonts w:ascii="仿宋_GB2312" w:hAnsi="仿宋_GB2312" w:eastAsia="宋体"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湘潭大学研招办</Company>
  <Pages>2</Pages>
  <Words>210</Words>
  <Characters>1198</Characters>
  <Lines>9</Lines>
  <Paragraphs>2</Paragraphs>
  <TotalTime>0</TotalTime>
  <ScaleCrop>false</ScaleCrop>
  <LinksUpToDate>false</LinksUpToDate>
  <CharactersWithSpaces>1406</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2019-09-23T08:52:00Z</dcterms:created>
  <dc:creator>李丽兰</dc:creator>
  <cp:lastModifiedBy>宋江南</cp:lastModifiedBy>
  <cp:lastPrinted>2018-07-16T02:14:00Z</cp:lastPrinted>
  <dcterms:modified xsi:type="dcterms:W3CDTF">2021-09-24T06:21:17Z</dcterms:modified>
  <dc:title>关于编制2002年硕士研究生招生专业目录的通知</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9C8D8EA414044FBB84A93A4FC2418E32</vt:lpwstr>
  </property>
</Properties>
</file>