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华文中宋"/>
          <w:b/>
          <w:sz w:val="30"/>
          <w:szCs w:val="30"/>
        </w:rPr>
      </w:pPr>
      <w:bookmarkStart w:id="0" w:name="_GoBack"/>
      <w:bookmarkEnd w:id="0"/>
      <w:r>
        <w:rPr>
          <w:rFonts w:hint="eastAsia" w:hAnsi="华文中宋" w:eastAsia="华文中宋"/>
          <w:b/>
          <w:sz w:val="30"/>
          <w:szCs w:val="30"/>
        </w:rPr>
        <w:t>北京第二外国语学院</w:t>
      </w:r>
      <w:r>
        <w:rPr>
          <w:rFonts w:hAnsi="华文中宋" w:eastAsia="华文中宋"/>
          <w:b/>
          <w:sz w:val="30"/>
          <w:szCs w:val="30"/>
        </w:rPr>
        <w:t>攻读硕士学位研究生入学考试</w:t>
      </w:r>
    </w:p>
    <w:p>
      <w:pPr>
        <w:spacing w:before="120" w:beforeLines="50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《</w:t>
      </w:r>
      <w:r>
        <w:rPr>
          <w:rFonts w:hint="eastAsia" w:ascii="华文中宋" w:hAnsi="华文中宋" w:eastAsia="华文中宋"/>
          <w:b/>
          <w:sz w:val="44"/>
          <w:szCs w:val="44"/>
        </w:rPr>
        <w:t>哲学原理</w:t>
      </w:r>
      <w:r>
        <w:rPr>
          <w:rFonts w:ascii="华文中宋" w:hAnsi="华文中宋" w:eastAsia="华文中宋"/>
          <w:b/>
          <w:sz w:val="44"/>
          <w:szCs w:val="44"/>
        </w:rPr>
        <w:t>》</w:t>
      </w:r>
      <w:r>
        <w:rPr>
          <w:rFonts w:hint="eastAsia" w:ascii="华文中宋" w:hAnsi="华文中宋" w:eastAsia="华文中宋"/>
          <w:b/>
          <w:sz w:val="44"/>
          <w:szCs w:val="44"/>
        </w:rPr>
        <w:t>考试大纲</w:t>
      </w:r>
    </w:p>
    <w:p>
      <w:pPr>
        <w:spacing w:line="300" w:lineRule="auto"/>
        <w:rPr>
          <w:rFonts w:hint="eastAsia" w:ascii="黑体" w:hAnsi="宋体" w:eastAsia="黑体"/>
          <w:sz w:val="28"/>
          <w:szCs w:val="28"/>
        </w:rPr>
      </w:pPr>
    </w:p>
    <w:p>
      <w:pPr>
        <w:spacing w:line="300" w:lineRule="auto"/>
        <w:ind w:firstLine="422" w:firstLineChars="150"/>
        <w:rPr>
          <w:rFonts w:eastAsia="华文中宋"/>
          <w:b/>
          <w:sz w:val="28"/>
          <w:szCs w:val="28"/>
        </w:rPr>
      </w:pPr>
      <w:r>
        <w:rPr>
          <w:rFonts w:hAnsi="华文中宋" w:eastAsia="华文中宋"/>
          <w:b/>
          <w:sz w:val="28"/>
          <w:szCs w:val="28"/>
        </w:rPr>
        <w:t>一、适用的招生专业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马克思主义哲学、外国哲学、美学</w:t>
      </w:r>
    </w:p>
    <w:p>
      <w:pPr>
        <w:spacing w:line="300" w:lineRule="auto"/>
        <w:ind w:firstLine="422" w:firstLineChars="150"/>
        <w:rPr>
          <w:rFonts w:hint="eastAsia" w:hAnsi="华文中宋" w:eastAsia="华文中宋"/>
          <w:b/>
          <w:sz w:val="28"/>
          <w:szCs w:val="28"/>
        </w:rPr>
      </w:pPr>
      <w:r>
        <w:rPr>
          <w:rFonts w:hint="eastAsia" w:hAnsi="华文中宋" w:eastAsia="华文中宋"/>
          <w:b/>
          <w:sz w:val="28"/>
          <w:szCs w:val="28"/>
        </w:rPr>
        <w:t>二、考试的基本要求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1、了解哲学的基本概念</w:t>
      </w:r>
      <w:r>
        <w:rPr>
          <w:sz w:val="24"/>
        </w:rPr>
        <w:t>和主要</w:t>
      </w:r>
      <w:r>
        <w:rPr>
          <w:rFonts w:hint="eastAsia"/>
          <w:sz w:val="24"/>
        </w:rPr>
        <w:t>问题，熟悉其内涵和发</w:t>
      </w:r>
      <w:r>
        <w:rPr>
          <w:sz w:val="24"/>
        </w:rPr>
        <w:t>展</w:t>
      </w:r>
      <w:r>
        <w:rPr>
          <w:rFonts w:hint="eastAsia"/>
          <w:sz w:val="24"/>
        </w:rPr>
        <w:t>理路。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2、具有较强的问题意识和一定的思辨能力，能够围绕某些哲学问题进行</w:t>
      </w:r>
      <w:r>
        <w:rPr>
          <w:sz w:val="24"/>
        </w:rPr>
        <w:t>论证</w:t>
      </w:r>
      <w:r>
        <w:rPr>
          <w:rFonts w:hint="eastAsia"/>
          <w:sz w:val="24"/>
        </w:rPr>
        <w:t>，且观点明确，思路清晰，</w:t>
      </w:r>
      <w:r>
        <w:rPr>
          <w:sz w:val="24"/>
        </w:rPr>
        <w:t>论证充分</w:t>
      </w:r>
      <w:r>
        <w:rPr>
          <w:rFonts w:hint="eastAsia"/>
          <w:sz w:val="24"/>
        </w:rPr>
        <w:t xml:space="preserve"> 。</w:t>
      </w:r>
    </w:p>
    <w:p>
      <w:pPr>
        <w:spacing w:line="300" w:lineRule="auto"/>
        <w:ind w:firstLine="422" w:firstLineChars="150"/>
        <w:rPr>
          <w:rFonts w:hint="eastAsia" w:hAnsi="华文中宋" w:eastAsia="华文中宋"/>
          <w:b/>
          <w:sz w:val="28"/>
          <w:szCs w:val="28"/>
        </w:rPr>
      </w:pPr>
      <w:r>
        <w:rPr>
          <w:rFonts w:hint="eastAsia" w:hAnsi="华文中宋" w:eastAsia="华文中宋"/>
          <w:b/>
          <w:sz w:val="28"/>
          <w:szCs w:val="28"/>
        </w:rPr>
        <w:t>三、试卷结构</w:t>
      </w:r>
    </w:p>
    <w:p>
      <w:pPr>
        <w:spacing w:line="300" w:lineRule="auto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总分：150分（</w:t>
      </w:r>
      <w:r>
        <w:rPr>
          <w:rFonts w:hint="eastAsia"/>
          <w:sz w:val="24"/>
        </w:rPr>
        <w:t>名词解释50分 简答题60分 论述题40分）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题型：</w:t>
      </w:r>
      <w:r>
        <w:rPr>
          <w:rFonts w:hint="eastAsia"/>
          <w:sz w:val="24"/>
        </w:rPr>
        <w:t>1、名词解释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2、简答题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</w:rPr>
        <w:t xml:space="preserve">      3、论述题</w:t>
      </w:r>
    </w:p>
    <w:p>
      <w:pPr>
        <w:spacing w:line="300" w:lineRule="auto"/>
        <w:ind w:firstLine="422" w:firstLineChars="150"/>
        <w:rPr>
          <w:rFonts w:hint="eastAsia" w:hAnsi="华文中宋" w:eastAsia="华文中宋"/>
          <w:b/>
          <w:sz w:val="28"/>
          <w:szCs w:val="28"/>
        </w:rPr>
      </w:pPr>
      <w:r>
        <w:rPr>
          <w:rFonts w:hint="eastAsia" w:hAnsi="华文中宋" w:eastAsia="华文中宋"/>
          <w:b/>
          <w:sz w:val="28"/>
          <w:szCs w:val="28"/>
        </w:rPr>
        <w:t>四、考试的主要</w:t>
      </w:r>
      <w:r>
        <w:rPr>
          <w:rFonts w:hAnsi="华文中宋" w:eastAsia="华文中宋"/>
          <w:b/>
          <w:sz w:val="28"/>
          <w:szCs w:val="28"/>
        </w:rPr>
        <w:t>内容</w:t>
      </w:r>
      <w:r>
        <w:rPr>
          <w:rFonts w:hint="eastAsia" w:hAnsi="华文中宋" w:eastAsia="华文中宋"/>
          <w:b/>
          <w:sz w:val="28"/>
          <w:szCs w:val="28"/>
        </w:rPr>
        <w:t>与要求</w:t>
      </w:r>
    </w:p>
    <w:p>
      <w:pPr>
        <w:spacing w:line="300" w:lineRule="auto"/>
        <w:ind w:firstLine="361" w:firstLineChars="150"/>
        <w:rPr>
          <w:rFonts w:hint="eastAsia" w:hAnsi="华文中宋" w:eastAsia="华文中宋"/>
          <w:b/>
          <w:sz w:val="24"/>
        </w:rPr>
      </w:pPr>
      <w:r>
        <w:rPr>
          <w:rFonts w:hint="eastAsia" w:hAnsi="华文中宋" w:eastAsia="华文中宋"/>
          <w:b/>
          <w:sz w:val="24"/>
        </w:rPr>
        <w:t>考试主要内容：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color w:val="FF0000"/>
          <w:sz w:val="24"/>
        </w:rPr>
        <w:t xml:space="preserve">  </w:t>
      </w:r>
      <w:r>
        <w:rPr>
          <w:rFonts w:hint="eastAsia" w:ascii="宋体" w:hAnsi="宋体"/>
          <w:sz w:val="24"/>
        </w:rPr>
        <w:t>一、哲学研究基本</w:t>
      </w:r>
      <w:r>
        <w:rPr>
          <w:rFonts w:ascii="宋体" w:hAnsi="宋体"/>
          <w:sz w:val="24"/>
        </w:rPr>
        <w:t>方法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逻辑与</w:t>
      </w:r>
      <w:r>
        <w:rPr>
          <w:rFonts w:ascii="宋体" w:hAnsi="宋体"/>
          <w:sz w:val="24"/>
        </w:rPr>
        <w:t>历史</w:t>
      </w:r>
      <w:r>
        <w:rPr>
          <w:rFonts w:hint="eastAsia" w:ascii="宋体" w:hAnsi="宋体"/>
          <w:sz w:val="24"/>
        </w:rPr>
        <w:t>的统一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演绎论证与归纳论证</w:t>
      </w:r>
    </w:p>
    <w:p>
      <w:pPr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概念、判断和推理</w:t>
      </w:r>
    </w:p>
    <w:p>
      <w:pPr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二、实在的本性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形而上学</w:t>
      </w:r>
    </w:p>
    <w:p>
      <w:pPr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2、柏拉图的“理式”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3、亚里士多德的“形式”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4、目的论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5、机械论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三 真理问题</w:t>
      </w:r>
    </w:p>
    <w:p>
      <w:pPr>
        <w:ind w:firstLine="465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符合论和去蔽说</w:t>
      </w:r>
    </w:p>
    <w:p>
      <w:pPr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唯理论和经验论</w:t>
      </w:r>
    </w:p>
    <w:p>
      <w:pPr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3、怀疑主义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相对主义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5、主体与客体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四、自我问题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自我的本性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身心二元论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>“我思故我在”</w:t>
      </w:r>
    </w:p>
    <w:p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自我意识　</w:t>
      </w:r>
      <w:r>
        <w:rPr>
          <w:rFonts w:ascii="宋体" w:hAnsi="宋体"/>
          <w:sz w:val="24"/>
        </w:rPr>
        <w:t xml:space="preserve">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五、自由问题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自由的内涵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几种不同的自由观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3、自由意志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4、决定论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5、自由与幸福　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六、善恶问题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道德的内涵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有关道德起源的论争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道德原则</w:t>
      </w:r>
    </w:p>
    <w:p>
      <w:pPr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正义</w:t>
      </w:r>
    </w:p>
    <w:p>
      <w:pPr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5、义务　</w:t>
      </w:r>
      <w:r>
        <w:rPr>
          <w:rFonts w:ascii="宋体" w:hAnsi="宋体"/>
          <w:sz w:val="24"/>
        </w:rPr>
        <w:t xml:space="preserve"> </w:t>
      </w:r>
    </w:p>
    <w:p>
      <w:pPr>
        <w:spacing w:line="300" w:lineRule="auto"/>
        <w:ind w:firstLine="422" w:firstLineChars="150"/>
        <w:rPr>
          <w:rFonts w:hint="eastAsia" w:hAnsi="华文中宋" w:eastAsia="华文中宋"/>
          <w:b/>
          <w:sz w:val="28"/>
          <w:szCs w:val="28"/>
        </w:rPr>
      </w:pPr>
      <w:r>
        <w:rPr>
          <w:rFonts w:hint="eastAsia" w:hAnsi="华文中宋" w:eastAsia="华文中宋"/>
          <w:b/>
          <w:sz w:val="28"/>
          <w:szCs w:val="28"/>
        </w:rPr>
        <w:t>五、主要参考书目</w:t>
      </w:r>
    </w:p>
    <w:p>
      <w:pPr>
        <w:widowControl/>
        <w:spacing w:line="320" w:lineRule="atLeast"/>
        <w:ind w:firstLine="420"/>
        <w:jc w:val="left"/>
        <w:rPr>
          <w:rFonts w:hint="eastAsia" w:ascii="&amp;quot" w:hAnsi="&amp;quot" w:cs="宋体"/>
          <w:color w:val="000000"/>
          <w:kern w:val="0"/>
          <w:szCs w:val="21"/>
        </w:rPr>
      </w:pPr>
      <w:r>
        <w:rPr>
          <w:rFonts w:ascii="&amp;quot" w:hAnsi="&amp;quot" w:cs="宋体"/>
          <w:color w:val="000000"/>
          <w:kern w:val="0"/>
          <w:szCs w:val="21"/>
        </w:rPr>
        <w:t>张世英：《哲学导论》</w:t>
      </w:r>
      <w:r>
        <w:rPr>
          <w:rFonts w:hint="eastAsia" w:ascii="&amp;quot" w:hAnsi="&amp;quot" w:cs="宋体"/>
          <w:color w:val="000000"/>
          <w:kern w:val="0"/>
          <w:szCs w:val="21"/>
        </w:rPr>
        <w:t>（第三版）</w:t>
      </w:r>
      <w:r>
        <w:rPr>
          <w:rFonts w:ascii="&amp;quot" w:hAnsi="&amp;quot" w:cs="宋体"/>
          <w:color w:val="000000"/>
          <w:kern w:val="0"/>
          <w:szCs w:val="21"/>
        </w:rPr>
        <w:t>，</w:t>
      </w:r>
      <w:r>
        <w:rPr>
          <w:rFonts w:hint="eastAsia" w:ascii="&amp;quot" w:hAnsi="&amp;quot" w:cs="宋体"/>
          <w:color w:val="000000"/>
          <w:kern w:val="0"/>
          <w:szCs w:val="21"/>
        </w:rPr>
        <w:t>北京</w:t>
      </w:r>
      <w:r>
        <w:rPr>
          <w:rFonts w:ascii="&amp;quot" w:hAnsi="&amp;quot" w:cs="宋体"/>
          <w:color w:val="000000"/>
          <w:kern w:val="0"/>
          <w:szCs w:val="21"/>
        </w:rPr>
        <w:t>大学出版社，20</w:t>
      </w:r>
      <w:r>
        <w:rPr>
          <w:rFonts w:hint="eastAsia" w:ascii="&amp;quot" w:hAnsi="&amp;quot" w:cs="宋体"/>
          <w:color w:val="000000"/>
          <w:kern w:val="0"/>
          <w:szCs w:val="21"/>
        </w:rPr>
        <w:t>16年。</w:t>
      </w:r>
    </w:p>
    <w:p>
      <w:pPr>
        <w:spacing w:line="300" w:lineRule="auto"/>
        <w:ind w:firstLine="420" w:firstLineChars="200"/>
        <w:rPr>
          <w:rFonts w:hint="eastAsia" w:ascii="宋体" w:hAnsi="宋体"/>
        </w:rPr>
      </w:pPr>
      <w:r>
        <w:rPr>
          <w:rFonts w:hint="eastAsia" w:ascii="&amp;quot" w:hAnsi="&amp;quot" w:cs="宋体"/>
          <w:color w:val="000000"/>
          <w:kern w:val="0"/>
          <w:szCs w:val="21"/>
        </w:rPr>
        <w:t>罗伯特·所罗门：《简明哲学导论》（第九版），</w:t>
      </w:r>
      <w:r>
        <w:rPr>
          <w:rFonts w:ascii="&amp;quot" w:hAnsi="&amp;quot" w:cs="宋体"/>
          <w:color w:val="000000"/>
          <w:kern w:val="0"/>
          <w:szCs w:val="21"/>
        </w:rPr>
        <w:t xml:space="preserve"> </w:t>
      </w:r>
      <w:r>
        <w:rPr>
          <w:rFonts w:hint="eastAsia" w:ascii="&amp;quot" w:hAnsi="&amp;quot" w:cs="宋体"/>
          <w:color w:val="000000"/>
          <w:kern w:val="0"/>
          <w:szCs w:val="21"/>
        </w:rPr>
        <w:t>广西师范大学出版社，2014年。</w:t>
      </w:r>
    </w:p>
    <w:p>
      <w:pPr>
        <w:spacing w:line="300" w:lineRule="auto"/>
        <w:ind w:firstLine="422" w:firstLineChars="200"/>
        <w:rPr>
          <w:rFonts w:hint="eastAsia" w:ascii="宋体" w:hAnsi="宋体"/>
          <w:b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0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魏碑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长城行楷体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  <w:lang/>
      </w:rPr>
      <w:t>1</w:t>
    </w:r>
    <w:r>
      <w:fldChar w:fldCharType="end"/>
    </w:r>
  </w:p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fldChar w:fldCharType="end"/>
    </w:r>
  </w:p>
  <w:p>
    <w:pPr>
      <w:pStyle w:val="1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E19"/>
    <w:rsid w:val="00090F32"/>
    <w:rsid w:val="000E4F19"/>
    <w:rsid w:val="001152B5"/>
    <w:rsid w:val="001168A7"/>
    <w:rsid w:val="00120B48"/>
    <w:rsid w:val="0015174D"/>
    <w:rsid w:val="001B6624"/>
    <w:rsid w:val="001B6AB9"/>
    <w:rsid w:val="001F05EA"/>
    <w:rsid w:val="00211C87"/>
    <w:rsid w:val="00212214"/>
    <w:rsid w:val="00221A9E"/>
    <w:rsid w:val="00282324"/>
    <w:rsid w:val="002931E3"/>
    <w:rsid w:val="003A7F53"/>
    <w:rsid w:val="003B2068"/>
    <w:rsid w:val="003E09EF"/>
    <w:rsid w:val="004F04B3"/>
    <w:rsid w:val="004F6AAC"/>
    <w:rsid w:val="005B7165"/>
    <w:rsid w:val="006371C8"/>
    <w:rsid w:val="00650F6B"/>
    <w:rsid w:val="00654E94"/>
    <w:rsid w:val="006A4728"/>
    <w:rsid w:val="006B36A3"/>
    <w:rsid w:val="006B778F"/>
    <w:rsid w:val="006F5CDD"/>
    <w:rsid w:val="00706070"/>
    <w:rsid w:val="007171EA"/>
    <w:rsid w:val="00727D79"/>
    <w:rsid w:val="007472A0"/>
    <w:rsid w:val="00814046"/>
    <w:rsid w:val="008238C3"/>
    <w:rsid w:val="00856D85"/>
    <w:rsid w:val="00867A98"/>
    <w:rsid w:val="00893895"/>
    <w:rsid w:val="008C406D"/>
    <w:rsid w:val="008E7331"/>
    <w:rsid w:val="00917141"/>
    <w:rsid w:val="00943A15"/>
    <w:rsid w:val="00972453"/>
    <w:rsid w:val="009C3EA6"/>
    <w:rsid w:val="009D01AD"/>
    <w:rsid w:val="009D229D"/>
    <w:rsid w:val="009F5450"/>
    <w:rsid w:val="00A13351"/>
    <w:rsid w:val="00A3367A"/>
    <w:rsid w:val="00A54D30"/>
    <w:rsid w:val="00A70D15"/>
    <w:rsid w:val="00B24276"/>
    <w:rsid w:val="00BA588E"/>
    <w:rsid w:val="00BF2687"/>
    <w:rsid w:val="00C150BD"/>
    <w:rsid w:val="00C24974"/>
    <w:rsid w:val="00CF109F"/>
    <w:rsid w:val="00D248AA"/>
    <w:rsid w:val="00DD0F61"/>
    <w:rsid w:val="00E305BA"/>
    <w:rsid w:val="00E3772F"/>
    <w:rsid w:val="00E377BA"/>
    <w:rsid w:val="00E4648D"/>
    <w:rsid w:val="00E568A1"/>
    <w:rsid w:val="00E62958"/>
    <w:rsid w:val="00E66EB0"/>
    <w:rsid w:val="00E7678A"/>
    <w:rsid w:val="00E9517E"/>
    <w:rsid w:val="00EB078E"/>
    <w:rsid w:val="00EB3B58"/>
    <w:rsid w:val="00F0661D"/>
    <w:rsid w:val="00F317A4"/>
    <w:rsid w:val="00F4267F"/>
    <w:rsid w:val="00F42D9A"/>
    <w:rsid w:val="00F46555"/>
    <w:rsid w:val="00FB71E6"/>
    <w:rsid w:val="00FC7F66"/>
    <w:rsid w:val="00FD3385"/>
    <w:rsid w:val="00FF5AAE"/>
    <w:rsid w:val="3FC63039"/>
    <w:rsid w:val="5AF26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黑体" w:hAnsi="Arial" w:eastAsia="黑体"/>
      <w:sz w:val="30"/>
      <w:szCs w:val="20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黑体"/>
      <w:sz w:val="28"/>
      <w:szCs w:val="20"/>
    </w:rPr>
  </w:style>
  <w:style w:type="character" w:default="1" w:styleId="20">
    <w:name w:val="Default Paragraph Font"/>
    <w:uiPriority w:val="0"/>
  </w:style>
  <w:style w:type="table" w:default="1" w:styleId="19">
    <w:name w:val="Normal Table"/>
    <w:semiHidden/>
    <w:uiPriority w:val="0"/>
    <w:tblPr>
      <w:tblStyle w:val="1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  <w:tcPr>
      <w:textDirection w:val="lrTbV"/>
    </w:tcPr>
  </w:style>
  <w:style w:type="paragraph" w:styleId="4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annotation text"/>
    <w:basedOn w:val="1"/>
    <w:uiPriority w:val="0"/>
    <w:pPr>
      <w:jc w:val="left"/>
    </w:pPr>
    <w:rPr>
      <w:szCs w:val="20"/>
    </w:rPr>
  </w:style>
  <w:style w:type="paragraph" w:styleId="7">
    <w:name w:val="Body Text 3"/>
    <w:basedOn w:val="1"/>
    <w:uiPriority w:val="0"/>
    <w:pPr>
      <w:widowControl/>
      <w:spacing w:line="360" w:lineRule="auto"/>
      <w:jc w:val="left"/>
    </w:pPr>
    <w:rPr>
      <w:rFonts w:eastAsia="长城行楷体"/>
      <w:kern w:val="0"/>
      <w:sz w:val="24"/>
      <w:szCs w:val="20"/>
    </w:rPr>
  </w:style>
  <w:style w:type="paragraph" w:styleId="8">
    <w:name w:val="Body Text"/>
    <w:basedOn w:val="1"/>
    <w:uiPriority w:val="0"/>
    <w:pPr>
      <w:spacing w:after="120" w:afterLines="0"/>
    </w:pPr>
  </w:style>
  <w:style w:type="paragraph" w:styleId="9">
    <w:name w:val="Body Text Indent"/>
    <w:basedOn w:val="1"/>
    <w:uiPriority w:val="0"/>
    <w:pPr>
      <w:ind w:firstLine="435"/>
    </w:pPr>
  </w:style>
  <w:style w:type="paragraph" w:styleId="10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11">
    <w:name w:val="Body Text Indent 2"/>
    <w:basedOn w:val="1"/>
    <w:uiPriority w:val="0"/>
    <w:pPr>
      <w:ind w:firstLine="420"/>
      <w:jc w:val="left"/>
    </w:pPr>
    <w:rPr>
      <w:szCs w:val="20"/>
    </w:rPr>
  </w:style>
  <w:style w:type="paragraph" w:styleId="12">
    <w:name w:val="Balloon Text"/>
    <w:basedOn w:val="1"/>
    <w:semiHidden/>
    <w:uiPriority w:val="0"/>
    <w:rPr>
      <w:sz w:val="18"/>
      <w:szCs w:val="18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uiPriority w:val="0"/>
    <w:pPr>
      <w:ind w:right="26" w:firstLine="420"/>
      <w:jc w:val="left"/>
    </w:pPr>
    <w:rPr>
      <w:szCs w:val="20"/>
    </w:rPr>
  </w:style>
  <w:style w:type="paragraph" w:styleId="16">
    <w:name w:val="Body Text 2"/>
    <w:basedOn w:val="1"/>
    <w:uiPriority w:val="0"/>
    <w:pPr>
      <w:jc w:val="center"/>
    </w:pPr>
    <w:rPr>
      <w:rFonts w:eastAsia="方正魏碑简体"/>
      <w:sz w:val="32"/>
      <w:szCs w:val="20"/>
    </w:rPr>
  </w:style>
  <w:style w:type="paragraph" w:styleId="17">
    <w:name w:val="Normal (Web)"/>
    <w:basedOn w:val="1"/>
    <w:uiPriority w:val="0"/>
    <w:pPr>
      <w:widowControl/>
      <w:spacing w:after="130" w:afterLines="0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18">
    <w:name w:val="Body Text First Indent"/>
    <w:basedOn w:val="8"/>
    <w:uiPriority w:val="0"/>
    <w:pPr>
      <w:ind w:firstLine="420"/>
    </w:pPr>
    <w:rPr>
      <w:szCs w:val="20"/>
    </w:rPr>
  </w:style>
  <w:style w:type="character" w:styleId="21">
    <w:name w:val="page number"/>
    <w:basedOn w:val="20"/>
    <w:uiPriority w:val="0"/>
  </w:style>
  <w:style w:type="character" w:styleId="22">
    <w:name w:val="Hyperlink"/>
    <w:unhideWhenUsed/>
    <w:uiPriority w:val="99"/>
    <w:rPr>
      <w:color w:val="0000FF"/>
      <w:u w:val="single"/>
    </w:rPr>
  </w:style>
  <w:style w:type="paragraph" w:customStyle="1" w:styleId="23">
    <w:name w:val="标题四"/>
    <w:basedOn w:val="1"/>
    <w:uiPriority w:val="0"/>
    <w:pPr>
      <w:spacing w:line="360" w:lineRule="auto"/>
      <w:outlineLvl w:val="0"/>
    </w:pPr>
    <w:rPr>
      <w:rFonts w:eastAsia="黑体"/>
      <w:sz w:val="24"/>
      <w:szCs w:val="20"/>
    </w:rPr>
  </w:style>
  <w:style w:type="paragraph" w:customStyle="1" w:styleId="24">
    <w:name w:val="CM4"/>
    <w:basedOn w:val="1"/>
    <w:next w:val="1"/>
    <w:uiPriority w:val="0"/>
    <w:pPr>
      <w:autoSpaceDE w:val="0"/>
      <w:autoSpaceDN w:val="0"/>
      <w:adjustRightInd w:val="0"/>
      <w:spacing w:line="391" w:lineRule="atLeast"/>
      <w:jc w:val="left"/>
    </w:pPr>
    <w:rPr>
      <w:rFonts w:ascii=".." w:eastAsia=".."/>
      <w:kern w:val="0"/>
      <w:sz w:val="24"/>
    </w:rPr>
  </w:style>
  <w:style w:type="paragraph" w:customStyle="1" w:styleId="25">
    <w:name w:val="CM3"/>
    <w:basedOn w:val="1"/>
    <w:next w:val="1"/>
    <w:uiPriority w:val="0"/>
    <w:pPr>
      <w:autoSpaceDE w:val="0"/>
      <w:autoSpaceDN w:val="0"/>
      <w:adjustRightInd w:val="0"/>
      <w:spacing w:line="391" w:lineRule="atLeast"/>
      <w:jc w:val="left"/>
    </w:pPr>
    <w:rPr>
      <w:rFonts w:ascii=".." w:eastAsia="..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2020-09-08T01:35:00Z</dcterms:created>
  <dc:creator>sj</dc:creator>
  <cp:lastModifiedBy>Administrator</cp:lastModifiedBy>
  <cp:lastPrinted>2020-09-10T04:49:00Z</cp:lastPrinted>
  <dcterms:modified xsi:type="dcterms:W3CDTF">2021-09-29T04:06:48Z</dcterms:modified>
  <dc:title>研究生入学考试《管理学》复试考试大纲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