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3" w:name="_GoBack"/>
      <w:bookmarkEnd w:id="3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p>
      <w:pPr>
        <w:spacing w:line="500" w:lineRule="exact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考试科目名称：经济学综合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8"/>
        </w:rPr>
        <w:t>（一）国际贸易实务部分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8"/>
        </w:rPr>
      </w:pPr>
      <w:r>
        <w:rPr>
          <w:rFonts w:hint="eastAsia" w:eastAsia="黑体"/>
          <w:sz w:val="24"/>
          <w:szCs w:val="2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《国际贸易实务》机械工业出版社 张孟才 2012年版（2013年10月重印）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pStyle w:val="5"/>
        <w:spacing w:line="340" w:lineRule="exact"/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要求考生掌握国际贸易的特点，国际货物适用的主要法律和惯例；</w:t>
      </w:r>
      <w:r>
        <w:rPr>
          <w:rFonts w:hint="eastAsia"/>
          <w:szCs w:val="21"/>
        </w:rPr>
        <w:t>掌握进出口合同中各条款的内在涵义，</w:t>
      </w:r>
      <w:r>
        <w:rPr>
          <w:rFonts w:hint="eastAsia" w:ascii="宋体" w:hAnsi="宋体" w:cs="宋体"/>
          <w:kern w:val="0"/>
          <w:szCs w:val="21"/>
        </w:rPr>
        <w:t>进出口贸易过程中各个业务环节的理论、知识、技能及具体运用，并能综合运用所学知识，分析和解决实际问题</w:t>
      </w:r>
    </w:p>
    <w:p>
      <w:pPr>
        <w:spacing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pStyle w:val="8"/>
      </w:pPr>
      <w:r>
        <w:rPr>
          <w:rStyle w:val="12"/>
          <w:rFonts w:hint="eastAsia"/>
          <w:color w:val="auto"/>
          <w:u w:val="none"/>
        </w:rPr>
        <w:t>1.</w:t>
      </w:r>
      <w:r>
        <w:rPr>
          <w:rStyle w:val="12"/>
          <w:color w:val="auto"/>
          <w:u w:val="none"/>
        </w:rPr>
        <w:t xml:space="preserve"> </w:t>
      </w:r>
      <w:r>
        <w:rPr>
          <w:rStyle w:val="12"/>
          <w:rFonts w:hint="eastAsia"/>
          <w:color w:val="auto"/>
          <w:u w:val="none"/>
        </w:rPr>
        <w:t>国际贸易实务概述</w:t>
      </w:r>
    </w:p>
    <w:p>
      <w:pPr>
        <w:numPr>
          <w:ilvl w:val="0"/>
          <w:numId w:val="1"/>
        </w:numPr>
        <w:rPr>
          <w:lang/>
        </w:rPr>
      </w:pPr>
      <w:r>
        <w:rPr>
          <w:rStyle w:val="12"/>
          <w:rFonts w:hint="eastAsia"/>
          <w:color w:val="auto"/>
          <w:u w:val="none"/>
          <w:lang/>
        </w:rPr>
        <w:t>国际货物买卖合同</w:t>
      </w:r>
    </w:p>
    <w:p>
      <w:pPr>
        <w:numPr>
          <w:ilvl w:val="0"/>
          <w:numId w:val="1"/>
        </w:numPr>
        <w:rPr>
          <w:rStyle w:val="12"/>
          <w:rFonts w:hint="eastAsia"/>
          <w:color w:val="auto"/>
          <w:u w:val="none"/>
          <w:lang/>
        </w:rPr>
      </w:pPr>
      <w:r>
        <w:rPr>
          <w:rStyle w:val="12"/>
          <w:rFonts w:hint="eastAsia"/>
          <w:color w:val="auto"/>
          <w:u w:val="none"/>
          <w:lang/>
        </w:rPr>
        <w:t>进出口贸易的基本流程</w:t>
      </w:r>
    </w:p>
    <w:p>
      <w:pPr>
        <w:numPr>
          <w:ilvl w:val="0"/>
          <w:numId w:val="1"/>
        </w:numPr>
        <w:rPr>
          <w:lang/>
        </w:rPr>
      </w:pPr>
      <w:r>
        <w:rPr>
          <w:rStyle w:val="12"/>
          <w:rFonts w:hint="eastAsia"/>
          <w:color w:val="auto"/>
          <w:u w:val="none"/>
          <w:lang/>
        </w:rPr>
        <w:t>国际贸易的法律与惯例环境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2.</w:t>
      </w:r>
      <w:r>
        <w:rPr>
          <w:rFonts w:ascii="Arial" w:hAnsi="Arial" w:cs="Arial"/>
          <w:b/>
          <w:szCs w:val="21"/>
        </w:rPr>
        <w:t>国际贸易术语</w:t>
      </w:r>
    </w:p>
    <w:p>
      <w:pPr>
        <w:numPr>
          <w:ilvl w:val="0"/>
          <w:numId w:val="2"/>
        </w:numPr>
        <w:wordWrap w:val="0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国际贸易术语</w:t>
      </w:r>
      <w:r>
        <w:rPr>
          <w:rFonts w:hint="eastAsia" w:ascii="Arial" w:hAnsi="Arial" w:cs="Arial"/>
          <w:szCs w:val="21"/>
        </w:rPr>
        <w:t>与国际贸易惯例</w:t>
      </w:r>
    </w:p>
    <w:p>
      <w:pPr>
        <w:numPr>
          <w:ilvl w:val="0"/>
          <w:numId w:val="2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适合海上与内河运输的</w:t>
      </w:r>
      <w:r>
        <w:rPr>
          <w:rFonts w:ascii="Arial" w:hAnsi="Arial" w:cs="Arial"/>
          <w:szCs w:val="21"/>
        </w:rPr>
        <w:t>国际贸易术语</w:t>
      </w:r>
    </w:p>
    <w:p>
      <w:pPr>
        <w:numPr>
          <w:ilvl w:val="0"/>
          <w:numId w:val="2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适合任何运输方式的</w:t>
      </w:r>
      <w:r>
        <w:rPr>
          <w:rFonts w:ascii="Arial" w:hAnsi="Arial" w:cs="Arial"/>
          <w:szCs w:val="21"/>
        </w:rPr>
        <w:t>国际贸易术语</w:t>
      </w:r>
    </w:p>
    <w:p>
      <w:pPr>
        <w:numPr>
          <w:ilvl w:val="0"/>
          <w:numId w:val="2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进出口商品的价格条款</w:t>
      </w:r>
    </w:p>
    <w:p>
      <w:pPr>
        <w:numPr>
          <w:ilvl w:val="0"/>
          <w:numId w:val="2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进出口大综商品的套期保值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3.进出口商品的价格与价格风险防范</w:t>
      </w:r>
    </w:p>
    <w:p>
      <w:pPr>
        <w:numPr>
          <w:ilvl w:val="0"/>
          <w:numId w:val="3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进出口商品价格的构成汇率风险防范</w:t>
      </w:r>
    </w:p>
    <w:p>
      <w:pPr>
        <w:numPr>
          <w:ilvl w:val="0"/>
          <w:numId w:val="3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佣金与折扣的运用</w:t>
      </w:r>
    </w:p>
    <w:p>
      <w:pPr>
        <w:numPr>
          <w:ilvl w:val="0"/>
          <w:numId w:val="3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进出口商品作价方法</w:t>
      </w:r>
    </w:p>
    <w:p>
      <w:pPr>
        <w:numPr>
          <w:ilvl w:val="0"/>
          <w:numId w:val="3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进出口商品价格条款的具体内容</w:t>
      </w:r>
    </w:p>
    <w:p>
      <w:pPr>
        <w:numPr>
          <w:ilvl w:val="0"/>
          <w:numId w:val="3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进出口大综商品的套期保值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/>
          <w:b/>
        </w:rPr>
        <w:t>4.</w:t>
      </w:r>
      <w:r>
        <w:rPr>
          <w:b/>
        </w:rPr>
        <w:t>国际贸易</w:t>
      </w:r>
      <w:r>
        <w:rPr>
          <w:rFonts w:hint="eastAsia"/>
          <w:b/>
        </w:rPr>
        <w:t>交易前的</w:t>
      </w:r>
      <w:r>
        <w:rPr>
          <w:b/>
        </w:rPr>
        <w:t>准备</w:t>
      </w:r>
    </w:p>
    <w:p>
      <w:pPr>
        <w:numPr>
          <w:ilvl w:val="0"/>
          <w:numId w:val="4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国际市场进行调研</w:t>
      </w:r>
    </w:p>
    <w:p>
      <w:pPr>
        <w:numPr>
          <w:ilvl w:val="0"/>
          <w:numId w:val="4"/>
        </w:numPr>
        <w:rPr>
          <w:rFonts w:hint="eastAsia"/>
        </w:rPr>
      </w:pPr>
      <w:bookmarkStart w:id="0" w:name="_Toc307234205"/>
      <w:bookmarkStart w:id="1" w:name="_Toc307234621"/>
      <w:bookmarkStart w:id="2" w:name="_Toc311106920"/>
      <w:r>
        <w:rPr>
          <w:rFonts w:hint="eastAsia"/>
        </w:rPr>
        <w:t>企业进入国际市场的渠道</w:t>
      </w:r>
      <w:bookmarkEnd w:id="0"/>
      <w:bookmarkEnd w:id="1"/>
      <w:bookmarkEnd w:id="2"/>
    </w:p>
    <w:p>
      <w:pPr>
        <w:numPr>
          <w:ilvl w:val="0"/>
          <w:numId w:val="4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/>
        </w:rPr>
        <w:t>进出口经营方案</w:t>
      </w:r>
    </w:p>
    <w:p>
      <w:pPr>
        <w:numPr>
          <w:ilvl w:val="0"/>
          <w:numId w:val="4"/>
        </w:numPr>
        <w:wordWrap w:val="0"/>
        <w:rPr>
          <w:rFonts w:hint="eastAsia"/>
        </w:rPr>
      </w:pPr>
      <w:r>
        <w:rPr>
          <w:rFonts w:hint="eastAsia"/>
        </w:rPr>
        <w:t>出口商品商标的注册</w:t>
      </w:r>
    </w:p>
    <w:p>
      <w:pPr>
        <w:numPr>
          <w:ilvl w:val="0"/>
          <w:numId w:val="4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价格制定与成本核算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Arial" w:hAnsi="Arial" w:cs="Arial"/>
          <w:b/>
          <w:szCs w:val="21"/>
        </w:rPr>
        <w:t>国际贸易合同的磋商和订立</w:t>
      </w:r>
    </w:p>
    <w:p>
      <w:pPr>
        <w:numPr>
          <w:ilvl w:val="0"/>
          <w:numId w:val="5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交易磋商的涵义及方式</w:t>
      </w:r>
    </w:p>
    <w:p>
      <w:pPr>
        <w:numPr>
          <w:ilvl w:val="0"/>
          <w:numId w:val="5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交易磋商的一般程序</w:t>
      </w:r>
    </w:p>
    <w:p>
      <w:pPr>
        <w:numPr>
          <w:ilvl w:val="0"/>
          <w:numId w:val="5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国际货物买卖合同有效成立的条件</w:t>
      </w:r>
    </w:p>
    <w:p>
      <w:pPr>
        <w:numPr>
          <w:ilvl w:val="0"/>
          <w:numId w:val="5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国际货物买卖合同生效的时间地点</w:t>
      </w:r>
    </w:p>
    <w:p>
      <w:pPr>
        <w:numPr>
          <w:ilvl w:val="0"/>
          <w:numId w:val="5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格式合同及其效力</w:t>
      </w:r>
    </w:p>
    <w:p>
      <w:pPr>
        <w:numPr>
          <w:ilvl w:val="0"/>
          <w:numId w:val="5"/>
        </w:numPr>
        <w:wordWrap w:val="0"/>
        <w:rPr>
          <w:rFonts w:hint="eastAsia"/>
        </w:rPr>
      </w:pPr>
      <w:r>
        <w:rPr>
          <w:rFonts w:hint="eastAsia"/>
        </w:rPr>
        <w:t>合同效力的消灭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/>
          <w:b/>
          <w:kern w:val="0"/>
        </w:rPr>
        <w:t>6.进出口商品属性及其合同条款</w:t>
      </w:r>
    </w:p>
    <w:p>
      <w:pPr>
        <w:numPr>
          <w:ilvl w:val="0"/>
          <w:numId w:val="6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品名和品质及其条款</w:t>
      </w:r>
    </w:p>
    <w:p>
      <w:pPr>
        <w:numPr>
          <w:ilvl w:val="0"/>
          <w:numId w:val="6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数量与数量条款</w:t>
      </w:r>
    </w:p>
    <w:p>
      <w:pPr>
        <w:numPr>
          <w:ilvl w:val="0"/>
          <w:numId w:val="6"/>
        </w:numPr>
        <w:wordWrap w:val="0"/>
        <w:rPr>
          <w:rFonts w:hint="eastAsia"/>
          <w:szCs w:val="21"/>
        </w:rPr>
      </w:pPr>
      <w:r>
        <w:rPr>
          <w:rFonts w:hint="eastAsia"/>
          <w:kern w:val="0"/>
        </w:rPr>
        <w:t>包装与包装条款</w:t>
      </w:r>
    </w:p>
    <w:p>
      <w:pPr>
        <w:wordWrap w:val="0"/>
        <w:ind w:left="420" w:leftChars="200"/>
        <w:rPr>
          <w:rFonts w:hint="eastAsia" w:cs="黑体"/>
          <w:b/>
          <w:kern w:val="0"/>
        </w:rPr>
      </w:pPr>
      <w:r>
        <w:rPr>
          <w:rFonts w:hint="eastAsia" w:cs="黑体"/>
          <w:b/>
          <w:kern w:val="0"/>
        </w:rPr>
        <w:t>7.国际货物运输与装运条款</w:t>
      </w:r>
    </w:p>
    <w:p>
      <w:pPr>
        <w:numPr>
          <w:ilvl w:val="0"/>
          <w:numId w:val="7"/>
        </w:numPr>
        <w:wordWrap w:val="0"/>
        <w:rPr>
          <w:rFonts w:hint="eastAsia" w:ascii="宋体"/>
          <w:kern w:val="0"/>
        </w:rPr>
      </w:pPr>
      <w:r>
        <w:rPr>
          <w:rFonts w:hint="eastAsia"/>
          <w:kern w:val="0"/>
        </w:rPr>
        <w:t>国际</w:t>
      </w:r>
      <w:r>
        <w:rPr>
          <w:rFonts w:hint="eastAsia" w:ascii="宋体"/>
          <w:kern w:val="0"/>
        </w:rPr>
        <w:t>货物海洋运输</w:t>
      </w:r>
    </w:p>
    <w:p>
      <w:pPr>
        <w:numPr>
          <w:ilvl w:val="0"/>
          <w:numId w:val="7"/>
        </w:numPr>
        <w:wordWrap w:val="0"/>
        <w:rPr>
          <w:rFonts w:hint="eastAsia"/>
        </w:rPr>
      </w:pPr>
      <w:r>
        <w:rPr>
          <w:rFonts w:hint="eastAsia"/>
        </w:rPr>
        <w:t>其他货物运输方式</w:t>
      </w:r>
    </w:p>
    <w:p>
      <w:pPr>
        <w:numPr>
          <w:ilvl w:val="0"/>
          <w:numId w:val="7"/>
        </w:numPr>
        <w:wordWrap w:val="0"/>
        <w:rPr>
          <w:rFonts w:hint="eastAsia"/>
          <w:kern w:val="0"/>
        </w:rPr>
      </w:pPr>
      <w:r>
        <w:rPr>
          <w:rFonts w:hint="eastAsia"/>
        </w:rPr>
        <w:t>运输</w:t>
      </w:r>
      <w:r>
        <w:rPr>
          <w:rFonts w:hint="eastAsia"/>
          <w:kern w:val="0"/>
        </w:rPr>
        <w:t>单据</w:t>
      </w:r>
    </w:p>
    <w:p>
      <w:pPr>
        <w:numPr>
          <w:ilvl w:val="0"/>
          <w:numId w:val="7"/>
        </w:numPr>
        <w:wordWrap w:val="0"/>
        <w:rPr>
          <w:rFonts w:hint="eastAsia" w:ascii="Arial" w:hAnsi="Arial" w:cs="Arial"/>
          <w:b/>
          <w:szCs w:val="21"/>
        </w:rPr>
      </w:pPr>
      <w:r>
        <w:rPr>
          <w:rFonts w:hint="eastAsia"/>
          <w:kern w:val="0"/>
        </w:rPr>
        <w:t>装运条款与运输合同</w:t>
      </w:r>
    </w:p>
    <w:p>
      <w:pPr>
        <w:wordWrap w:val="0"/>
        <w:ind w:left="420" w:leftChars="200"/>
        <w:rPr>
          <w:rFonts w:hint="eastAsia"/>
          <w:b/>
        </w:rPr>
      </w:pPr>
      <w:r>
        <w:rPr>
          <w:rFonts w:hint="eastAsia"/>
          <w:b/>
        </w:rPr>
        <w:t>8.进出口商品检验</w:t>
      </w:r>
    </w:p>
    <w:p>
      <w:pPr>
        <w:numPr>
          <w:ilvl w:val="0"/>
          <w:numId w:val="8"/>
        </w:numPr>
        <w:wordWrap w:val="0"/>
        <w:rPr>
          <w:rFonts w:hint="eastAsia"/>
        </w:rPr>
      </w:pPr>
      <w:r>
        <w:rPr>
          <w:rFonts w:hint="eastAsia"/>
        </w:rPr>
        <w:t>进出口商品检验及标准、程序</w:t>
      </w:r>
    </w:p>
    <w:p>
      <w:pPr>
        <w:numPr>
          <w:ilvl w:val="0"/>
          <w:numId w:val="8"/>
        </w:numPr>
        <w:wordWrap w:val="0"/>
        <w:rPr>
          <w:rFonts w:hint="eastAsia"/>
        </w:rPr>
      </w:pPr>
      <w:r>
        <w:rPr>
          <w:rFonts w:hint="eastAsia"/>
        </w:rPr>
        <w:t>进出口商品检验的时间和地点</w:t>
      </w:r>
    </w:p>
    <w:p>
      <w:pPr>
        <w:numPr>
          <w:ilvl w:val="0"/>
          <w:numId w:val="8"/>
        </w:numPr>
        <w:wordWrap w:val="0"/>
        <w:rPr>
          <w:rFonts w:hint="eastAsia"/>
        </w:rPr>
      </w:pPr>
      <w:r>
        <w:rPr>
          <w:rFonts w:hint="eastAsia" w:ascii="黑体" w:hAnsi="黑体"/>
          <w:kern w:val="0"/>
        </w:rPr>
        <w:t>进出口商品检验证书与检验机构</w:t>
      </w:r>
    </w:p>
    <w:p>
      <w:pPr>
        <w:wordWrap w:val="0"/>
        <w:ind w:left="420" w:leftChars="200"/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9.国际货物运输保险与保险条款</w:t>
      </w:r>
    </w:p>
    <w:p>
      <w:pPr>
        <w:numPr>
          <w:ilvl w:val="0"/>
          <w:numId w:val="9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海上风险与损失</w:t>
      </w:r>
    </w:p>
    <w:p>
      <w:pPr>
        <w:numPr>
          <w:ilvl w:val="0"/>
          <w:numId w:val="9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海运货物保险的险别</w:t>
      </w:r>
    </w:p>
    <w:p>
      <w:pPr>
        <w:numPr>
          <w:ilvl w:val="0"/>
          <w:numId w:val="9"/>
        </w:numPr>
        <w:wordWrap w:val="0"/>
        <w:rPr>
          <w:rFonts w:hint="eastAsia"/>
          <w:kern w:val="0"/>
        </w:rPr>
      </w:pPr>
      <w:r>
        <w:rPr>
          <w:kern w:val="0"/>
        </w:rPr>
        <w:t>陆运保险、空运保险和邮运保险</w:t>
      </w:r>
    </w:p>
    <w:p>
      <w:pPr>
        <w:numPr>
          <w:ilvl w:val="0"/>
          <w:numId w:val="9"/>
        </w:numPr>
        <w:wordWrap w:val="0"/>
        <w:rPr>
          <w:rFonts w:hint="eastAsia"/>
          <w:kern w:val="0"/>
        </w:rPr>
      </w:pPr>
      <w:r>
        <w:rPr>
          <w:kern w:val="0"/>
        </w:rPr>
        <w:t>我国货运保险基本做法</w:t>
      </w:r>
    </w:p>
    <w:p>
      <w:pPr>
        <w:wordWrap w:val="0"/>
        <w:ind w:left="420" w:leftChars="200"/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10.国际货款的收付与合同约定</w:t>
      </w:r>
    </w:p>
    <w:p>
      <w:pPr>
        <w:numPr>
          <w:ilvl w:val="0"/>
          <w:numId w:val="10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国际货款结算票据</w:t>
      </w:r>
    </w:p>
    <w:p>
      <w:pPr>
        <w:numPr>
          <w:ilvl w:val="0"/>
          <w:numId w:val="10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常用支付式</w:t>
      </w:r>
    </w:p>
    <w:p>
      <w:pPr>
        <w:numPr>
          <w:ilvl w:val="0"/>
          <w:numId w:val="10"/>
        </w:numPr>
        <w:wordWrap w:val="0"/>
        <w:rPr>
          <w:rFonts w:hint="eastAsia"/>
          <w:kern w:val="0"/>
        </w:rPr>
      </w:pPr>
      <w:r>
        <w:rPr>
          <w:rFonts w:hint="eastAsia"/>
          <w:kern w:val="0"/>
        </w:rPr>
        <w:t>其它付款方式</w:t>
      </w:r>
    </w:p>
    <w:p>
      <w:pPr>
        <w:wordWrap w:val="0"/>
        <w:ind w:left="420" w:leftChars="200"/>
        <w:rPr>
          <w:rFonts w:hint="eastAsia"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11.国际贸易合同的履行</w:t>
      </w:r>
    </w:p>
    <w:p>
      <w:pPr>
        <w:numPr>
          <w:ilvl w:val="0"/>
          <w:numId w:val="11"/>
        </w:num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出口合同的履行</w:t>
      </w:r>
    </w:p>
    <w:p>
      <w:pPr>
        <w:numPr>
          <w:ilvl w:val="0"/>
          <w:numId w:val="11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/>
          <w:szCs w:val="21"/>
        </w:rPr>
        <w:t>进口合同的履行</w:t>
      </w:r>
    </w:p>
    <w:p>
      <w:pPr>
        <w:numPr>
          <w:ilvl w:val="0"/>
          <w:numId w:val="11"/>
        </w:numPr>
        <w:wordWrap w:val="0"/>
        <w:rPr>
          <w:rFonts w:hint="eastAsia" w:ascii="Arial" w:hAnsi="Arial" w:cs="Arial"/>
          <w:szCs w:val="21"/>
        </w:rPr>
      </w:pPr>
      <w:r>
        <w:rPr>
          <w:rFonts w:hint="eastAsia"/>
          <w:szCs w:val="21"/>
        </w:rPr>
        <w:t>索赔与理赔工作</w:t>
      </w:r>
    </w:p>
    <w:p>
      <w:pPr>
        <w:widowControl/>
        <w:wordWrap w:val="0"/>
        <w:ind w:left="420" w:left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Arial" w:hAnsi="Arial" w:cs="Arial"/>
          <w:b/>
          <w:sz w:val="24"/>
        </w:rPr>
        <w:t>12.国际</w:t>
      </w:r>
      <w:r>
        <w:rPr>
          <w:rFonts w:hint="eastAsia" w:ascii="宋体" w:hAnsi="宋体" w:cs="宋体"/>
          <w:b/>
          <w:kern w:val="0"/>
          <w:sz w:val="24"/>
        </w:rPr>
        <w:t>贸易争议的预防和处理</w:t>
      </w:r>
    </w:p>
    <w:p>
      <w:pPr>
        <w:widowControl/>
        <w:numPr>
          <w:ilvl w:val="0"/>
          <w:numId w:val="12"/>
        </w:numPr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kern w:val="0"/>
        </w:rPr>
        <w:t>国际贸易争议与解决方式</w:t>
      </w:r>
    </w:p>
    <w:p>
      <w:pPr>
        <w:widowControl/>
        <w:numPr>
          <w:ilvl w:val="0"/>
          <w:numId w:val="12"/>
        </w:numPr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kern w:val="0"/>
        </w:rPr>
        <w:t>索赔和理赔</w:t>
      </w:r>
    </w:p>
    <w:p>
      <w:pPr>
        <w:widowControl/>
        <w:numPr>
          <w:ilvl w:val="0"/>
          <w:numId w:val="12"/>
        </w:numPr>
        <w:wordWrap w:val="0"/>
        <w:jc w:val="left"/>
        <w:rPr>
          <w:rFonts w:hint="eastAsia" w:ascii="宋体" w:hAnsi="宋体" w:cs="宋体"/>
          <w:b/>
          <w:kern w:val="0"/>
        </w:rPr>
      </w:pPr>
      <w:r>
        <w:rPr>
          <w:rFonts w:hint="eastAsia" w:ascii="宋体" w:hAnsi="宋体"/>
          <w:kern w:val="0"/>
        </w:rPr>
        <w:t>不可抗力及其合同条款</w:t>
      </w:r>
    </w:p>
    <w:p>
      <w:pPr>
        <w:widowControl/>
        <w:numPr>
          <w:ilvl w:val="0"/>
          <w:numId w:val="12"/>
        </w:numPr>
        <w:wordWrap w:val="0"/>
        <w:jc w:val="left"/>
        <w:rPr>
          <w:rFonts w:hint="eastAsia" w:ascii="宋体" w:hAnsi="宋体" w:cs="宋体"/>
          <w:b/>
          <w:kern w:val="0"/>
        </w:rPr>
      </w:pPr>
      <w:r>
        <w:rPr>
          <w:rStyle w:val="16"/>
          <w:rFonts w:hint="eastAsia" w:ascii="宋体" w:hAnsi="宋体"/>
          <w:b w:val="0"/>
          <w:sz w:val="21"/>
          <w:szCs w:val="21"/>
        </w:rPr>
        <w:t>国际贸易</w:t>
      </w:r>
      <w:r>
        <w:rPr>
          <w:rStyle w:val="16"/>
          <w:rFonts w:ascii="宋体" w:hAnsi="宋体"/>
          <w:b w:val="0"/>
          <w:sz w:val="21"/>
          <w:szCs w:val="21"/>
        </w:rPr>
        <w:t>仲裁</w:t>
      </w:r>
    </w:p>
    <w:p>
      <w:pPr>
        <w:ind w:left="420" w:leftChars="200"/>
        <w:rPr>
          <w:rFonts w:hint="eastAsia"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13．国际贸易方式</w:t>
      </w:r>
    </w:p>
    <w:p>
      <w:pPr>
        <w:numPr>
          <w:ilvl w:val="0"/>
          <w:numId w:val="13"/>
        </w:numPr>
        <w:rPr>
          <w:rFonts w:hint="eastAsia"/>
        </w:rPr>
      </w:pPr>
      <w:r>
        <w:t>加工贸易</w:t>
      </w:r>
    </w:p>
    <w:p>
      <w:pPr>
        <w:numPr>
          <w:ilvl w:val="0"/>
          <w:numId w:val="13"/>
        </w:numPr>
        <w:rPr>
          <w:rFonts w:hint="eastAsia"/>
        </w:rPr>
      </w:pPr>
      <w:r>
        <w:t>经销</w:t>
      </w:r>
      <w:r>
        <w:rPr>
          <w:rFonts w:hint="eastAsia"/>
        </w:rPr>
        <w:t>和</w:t>
      </w:r>
      <w:r>
        <w:t>代理</w:t>
      </w:r>
    </w:p>
    <w:p>
      <w:pPr>
        <w:numPr>
          <w:ilvl w:val="0"/>
          <w:numId w:val="13"/>
        </w:numPr>
        <w:rPr>
          <w:rFonts w:hint="eastAsia"/>
        </w:rPr>
      </w:pPr>
      <w:r>
        <w:t>拍卖和招投标</w:t>
      </w:r>
    </w:p>
    <w:p>
      <w:pPr>
        <w:numPr>
          <w:ilvl w:val="0"/>
          <w:numId w:val="13"/>
        </w:numPr>
        <w:rPr>
          <w:rFonts w:hint="eastAsia"/>
        </w:rPr>
      </w:pPr>
      <w:r>
        <w:t>寄售</w:t>
      </w:r>
      <w:r>
        <w:rPr>
          <w:rFonts w:hint="eastAsia"/>
        </w:rPr>
        <w:t>和展卖</w:t>
      </w:r>
    </w:p>
    <w:p>
      <w:pPr>
        <w:numPr>
          <w:ilvl w:val="0"/>
          <w:numId w:val="13"/>
        </w:numPr>
      </w:pPr>
      <w:r>
        <w:t>对等贸易和租赁贸易</w:t>
      </w:r>
    </w:p>
    <w:p>
      <w:pPr>
        <w:ind w:left="1260"/>
      </w:pP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  <w:r>
        <w:rPr>
          <w:rFonts w:hint="eastAsia" w:ascii="黑体" w:eastAsia="黑体"/>
          <w:sz w:val="28"/>
        </w:rPr>
        <w:t>（二）</w:t>
      </w:r>
      <w:r>
        <w:rPr>
          <w:rFonts w:hint="eastAsia" w:ascii="方正书宋简体" w:eastAsia="方正书宋简体"/>
          <w:sz w:val="28"/>
        </w:rPr>
        <w:t>金融市场学部分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一、考试大纲援引教材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《金融市场学》 清华大学出版社 张薇薇 2017年7月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二、考试要求：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要求学生全面系统地掌握货币市场、资本市场、外汇市场和衍生金融市场，掌握投资组合理论和资本资产定价理论。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三、考试内容：</w:t>
      </w:r>
    </w:p>
    <w:p>
      <w:pPr>
        <w:spacing w:before="156" w:beforeLines="50" w:after="156" w:afterLines="50" w:line="340" w:lineRule="exact"/>
        <w:ind w:firstLine="211" w:firstLineChars="100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Cs w:val="21"/>
        </w:rPr>
        <w:t>货币市场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同业拆借市场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回购市场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商业票据市场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银行承兑汇票市场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短期政府债券市场</w:t>
      </w:r>
    </w:p>
    <w:p>
      <w:pPr>
        <w:numPr>
          <w:ilvl w:val="0"/>
          <w:numId w:val="14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货币市场基金</w:t>
      </w:r>
    </w:p>
    <w:p>
      <w:pPr>
        <w:spacing w:line="340" w:lineRule="exact"/>
        <w:ind w:firstLine="211" w:firstLineChars="100"/>
        <w:rPr>
          <w:rFonts w:hint="eastAsia"/>
          <w:b/>
          <w:bCs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资本市场</w:t>
      </w:r>
    </w:p>
    <w:p>
      <w:pPr>
        <w:numPr>
          <w:ilvl w:val="0"/>
          <w:numId w:val="14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股票市场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债券市场 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投资基金市场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外汇市场</w:t>
      </w:r>
    </w:p>
    <w:p>
      <w:pPr>
        <w:numPr>
          <w:ilvl w:val="0"/>
          <w:numId w:val="14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外汇市场概述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外汇市场的构成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外汇市场的汇率决定理论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外汇市场的交易方式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4.</w:t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衍生金融交易</w:t>
      </w:r>
    </w:p>
    <w:p>
      <w:pPr>
        <w:numPr>
          <w:ilvl w:val="0"/>
          <w:numId w:val="14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远期交易</w:t>
      </w:r>
    </w:p>
    <w:p>
      <w:pPr>
        <w:numPr>
          <w:ilvl w:val="0"/>
          <w:numId w:val="14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期货交易</w:t>
      </w:r>
    </w:p>
    <w:p>
      <w:pPr>
        <w:numPr>
          <w:ilvl w:val="0"/>
          <w:numId w:val="14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期权交易</w:t>
      </w:r>
    </w:p>
    <w:p>
      <w:pPr>
        <w:numPr>
          <w:ilvl w:val="0"/>
          <w:numId w:val="14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互换交易</w:t>
      </w:r>
    </w:p>
    <w:p>
      <w:pPr>
        <w:numPr>
          <w:ilvl w:val="0"/>
          <w:numId w:val="15"/>
        </w:num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债券价值分析</w:t>
      </w:r>
    </w:p>
    <w:p>
      <w:pPr>
        <w:numPr>
          <w:ilvl w:val="0"/>
          <w:numId w:val="14"/>
        </w:numPr>
        <w:spacing w:line="34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债券的定价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债券价格的影响因素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债券定价原理</w:t>
      </w:r>
    </w:p>
    <w:p>
      <w:pPr>
        <w:numPr>
          <w:ilvl w:val="0"/>
          <w:numId w:val="15"/>
        </w:numPr>
        <w:spacing w:before="156" w:beforeLines="50" w:after="156" w:afterLines="50" w:line="340" w:lineRule="exact"/>
        <w:ind w:firstLine="211" w:firstLineChars="10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股票价值分析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股票价格的影响因素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股息贴现模型 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市盈率模型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第四节自由现金流模型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7.证券投资组合理论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金融风险的定义和分类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投资收益与风险的衡量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证券组合与分散风险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风险偏好与无差异曲线</w:t>
      </w:r>
    </w:p>
    <w:p>
      <w:pPr>
        <w:numPr>
          <w:ilvl w:val="0"/>
          <w:numId w:val="14"/>
        </w:num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有效集与最优投资组合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color w:val="000000"/>
        </w:rPr>
        <w:t xml:space="preserve">8. </w:t>
      </w:r>
      <w:r>
        <w:rPr>
          <w:rFonts w:hint="eastAsia" w:ascii="宋体" w:hAnsi="宋体"/>
          <w:b/>
          <w:szCs w:val="21"/>
        </w:rPr>
        <w:t>资产定价理论</w:t>
      </w:r>
    </w:p>
    <w:p>
      <w:pPr>
        <w:numPr>
          <w:ilvl w:val="0"/>
          <w:numId w:val="14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资本资产定价模型</w:t>
      </w:r>
    </w:p>
    <w:p>
      <w:pPr>
        <w:numPr>
          <w:ilvl w:val="0"/>
          <w:numId w:val="14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因素模型与套利定价理论</w:t>
      </w:r>
    </w:p>
    <w:p>
      <w:pPr>
        <w:spacing w:line="500" w:lineRule="exact"/>
        <w:jc w:val="center"/>
        <w:rPr>
          <w:rFonts w:ascii="黑体" w:eastAsia="黑体"/>
          <w:sz w:val="28"/>
        </w:rPr>
      </w:pPr>
    </w:p>
    <w:p>
      <w:pPr>
        <w:spacing w:line="500" w:lineRule="exact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（三）产业经济学部分</w:t>
      </w:r>
    </w:p>
    <w:p>
      <w:pPr>
        <w:jc w:val="center"/>
        <w:rPr>
          <w:rFonts w:hint="eastAsia" w:eastAsia="华文中宋"/>
          <w:sz w:val="28"/>
        </w:rPr>
      </w:pPr>
      <w:r>
        <w:rPr>
          <w:rFonts w:hint="eastAsia" w:eastAsia="华文中宋"/>
          <w:sz w:val="28"/>
        </w:rPr>
        <w:t>第一部分  考试说明</w:t>
      </w:r>
    </w:p>
    <w:p>
      <w:pPr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eastAsia="黑体"/>
          <w:sz w:val="24"/>
        </w:rPr>
        <w:t>一、</w:t>
      </w:r>
      <w:r>
        <w:rPr>
          <w:rFonts w:hint="eastAsia" w:ascii="黑体" w:eastAsia="黑体"/>
          <w:sz w:val="24"/>
        </w:rPr>
        <w:t>考试大纲援引教材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18"/>
        </w:rPr>
        <w:t>《产业经济学》第四版</w:t>
      </w:r>
      <w:r>
        <w:rPr>
          <w:rFonts w:ascii="宋体" w:hAnsi="宋体"/>
          <w:szCs w:val="18"/>
        </w:rPr>
        <w:t xml:space="preserve"> </w:t>
      </w:r>
      <w:r>
        <w:rPr>
          <w:rFonts w:hint="eastAsia" w:ascii="宋体" w:hAnsi="宋体"/>
          <w:szCs w:val="18"/>
        </w:rPr>
        <w:t>高等教育出版社</w:t>
      </w:r>
      <w:r>
        <w:rPr>
          <w:rFonts w:ascii="宋体" w:hAnsi="宋体"/>
          <w:szCs w:val="18"/>
        </w:rPr>
        <w:t xml:space="preserve"> </w:t>
      </w:r>
      <w:r>
        <w:rPr>
          <w:rFonts w:hint="eastAsia" w:ascii="宋体" w:hAnsi="宋体"/>
          <w:szCs w:val="18"/>
        </w:rPr>
        <w:t>苏东水</w:t>
      </w:r>
      <w:r>
        <w:rPr>
          <w:rFonts w:ascii="宋体" w:hAnsi="宋体"/>
          <w:szCs w:val="18"/>
        </w:rPr>
        <w:t xml:space="preserve"> 2015</w:t>
      </w:r>
      <w:r>
        <w:rPr>
          <w:rFonts w:hint="eastAsia" w:ascii="宋体" w:hAnsi="宋体"/>
          <w:szCs w:val="18"/>
        </w:rPr>
        <w:t>年</w:t>
      </w:r>
      <w:r>
        <w:rPr>
          <w:rFonts w:ascii="宋体" w:hAnsi="宋体"/>
          <w:szCs w:val="18"/>
        </w:rPr>
        <w:t>9</w:t>
      </w:r>
      <w:r>
        <w:rPr>
          <w:rFonts w:hint="eastAsia" w:ascii="宋体" w:hAnsi="宋体"/>
          <w:szCs w:val="18"/>
        </w:rPr>
        <w:t>月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二、考试的学科范围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考试范围包括：产业经济学的理论体系及产生和发展过程；产业组织理论。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三、评价目标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产业经济学理论考试在考查基本知识、基本理论的基础上，注重考查考生运用产业经济学的思维范式、观点和方法观察和解决产业实践问题的能力。其目标如下：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 理解和掌握产业经济学中基本理论与观点。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2．运用产业经济学的思维方式对特定产业经济学案例进行分析。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3．用产业经济学的观点和方法，比较和分析有关经济现象或实际问题。 </w:t>
      </w:r>
    </w:p>
    <w:p>
      <w:pPr>
        <w:ind w:firstLine="280" w:firstLineChars="100"/>
        <w:jc w:val="center"/>
        <w:rPr>
          <w:rFonts w:hint="eastAsia" w:eastAsia="华文中宋"/>
          <w:sz w:val="28"/>
        </w:rPr>
      </w:pPr>
      <w:r>
        <w:rPr>
          <w:rFonts w:hint="eastAsia" w:eastAsia="华文中宋"/>
          <w:sz w:val="28"/>
        </w:rPr>
        <w:t>第二部分 考查的知识范围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一、产业组织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（－）规模经济与范围经济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规模经济与范围经济的基本成因</w:t>
      </w:r>
    </w:p>
    <w:p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企业适度规模的确定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（二）市场集中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1．市场集中度的测定指标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影响市场集中的主要因素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3. 市场集中与利润率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（三）进入与退出壁垒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1．结构性进入壁垒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2．策略性进入壁垒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3．进入与退出壁垒的复利效应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（四）博弈论与企业策略性行为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1．新产业组织学与策略性行为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2．合作策略性行为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3．非合作策略性行为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（五）企业并购行为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1．横向并购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2．纵向并购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3．混合并购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（六）企业创新行为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1．市场结构与企业创新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2．研发、专利制度与企业创新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（七）市场绩效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1．市场绩效的衡量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2．市场结构与市场绩效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3．市场行为与市场绩效  </w:t>
      </w:r>
    </w:p>
    <w:p>
      <w:pPr>
        <w:ind w:firstLine="420" w:firstLineChars="200"/>
        <w:rPr>
          <w:rFonts w:hint="eastAsia"/>
        </w:rPr>
      </w:pP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二、产业结构</w:t>
      </w:r>
    </w:p>
    <w:p>
      <w:pPr>
        <w:widowControl/>
        <w:spacing w:line="320" w:lineRule="exact"/>
        <w:ind w:firstLine="205" w:firstLineChars="98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（一）</w:t>
      </w:r>
      <w:r>
        <w:rPr>
          <w:rFonts w:hint="eastAsia" w:cs="宋体"/>
          <w:color w:val="000000"/>
          <w:kern w:val="0"/>
          <w:szCs w:val="21"/>
        </w:rPr>
        <w:t>产业结构的演进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1．影响产业结构的因素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2. 产业结构演进的基本规律</w:t>
      </w:r>
    </w:p>
    <w:p>
      <w:pPr>
        <w:widowControl/>
        <w:spacing w:line="320" w:lineRule="exact"/>
        <w:ind w:firstLine="420" w:firstLineChars="200"/>
        <w:rPr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3. 产业结构优化</w:t>
      </w:r>
    </w:p>
    <w:p>
      <w:pPr>
        <w:widowControl/>
        <w:spacing w:line="320" w:lineRule="exact"/>
        <w:ind w:firstLine="210" w:firstLineChars="1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（二）</w:t>
      </w:r>
      <w:r>
        <w:rPr>
          <w:rFonts w:hint="eastAsia" w:cs="宋体"/>
          <w:color w:val="000000"/>
          <w:kern w:val="0"/>
          <w:szCs w:val="21"/>
        </w:rPr>
        <w:t>产业关联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1. 投入产出分析原理</w:t>
      </w:r>
    </w:p>
    <w:p>
      <w:pPr>
        <w:widowControl/>
        <w:spacing w:line="320" w:lineRule="exact"/>
        <w:ind w:firstLine="420" w:firstLineChars="200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2. 投入产促分析应用</w:t>
      </w:r>
    </w:p>
    <w:p>
      <w:pPr>
        <w:widowControl/>
        <w:spacing w:line="320" w:lineRule="exact"/>
        <w:ind w:firstLine="210" w:firstLineChars="1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（三）产业布局与集群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1. 产业布局的基本理论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2. 产业布局的影响因素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3. 产业集群</w:t>
      </w:r>
    </w:p>
    <w:p>
      <w:pPr>
        <w:widowControl/>
        <w:spacing w:line="320" w:lineRule="exact"/>
        <w:ind w:firstLine="420" w:firstLineChars="200"/>
        <w:rPr>
          <w:rFonts w:hint="eastAsia" w:cs="宋体"/>
          <w:color w:val="000000"/>
          <w:kern w:val="0"/>
          <w:szCs w:val="21"/>
        </w:rPr>
      </w:pP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 产业政策</w:t>
      </w:r>
    </w:p>
    <w:p>
      <w:pPr>
        <w:widowControl/>
        <w:spacing w:line="320" w:lineRule="exact"/>
        <w:ind w:firstLine="210" w:firstLineChars="10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（一）产业组织与反垄断政策</w:t>
      </w:r>
    </w:p>
    <w:p>
      <w:pPr>
        <w:widowControl/>
        <w:spacing w:line="320" w:lineRule="exact"/>
        <w:ind w:firstLine="42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1. 产业组织政策的基本目标</w:t>
      </w:r>
    </w:p>
    <w:p>
      <w:pPr>
        <w:widowControl/>
        <w:spacing w:line="320" w:lineRule="exact"/>
        <w:ind w:firstLine="420"/>
        <w:rPr>
          <w:rFonts w:hint="eastAsia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2. 规模经济政策</w:t>
      </w:r>
    </w:p>
    <w:p>
      <w:pPr>
        <w:widowControl/>
        <w:spacing w:line="320" w:lineRule="exact"/>
        <w:ind w:firstLine="420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3. 反垄断政策</w:t>
      </w:r>
    </w:p>
    <w:p>
      <w:pPr>
        <w:widowControl/>
        <w:spacing w:line="320" w:lineRule="exact"/>
        <w:ind w:firstLine="210" w:firstLineChars="100"/>
        <w:rPr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（二）垄断性产业的管制政策</w:t>
      </w:r>
      <w:r>
        <w:rPr>
          <w:color w:val="000000"/>
          <w:kern w:val="0"/>
          <w:szCs w:val="21"/>
        </w:rPr>
        <w:t xml:space="preserve"> </w:t>
      </w:r>
    </w:p>
    <w:p>
      <w:pPr>
        <w:widowControl/>
        <w:spacing w:line="320" w:lineRule="exact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1. 垄断性产业的基本特征</w:t>
      </w:r>
    </w:p>
    <w:p>
      <w:pPr>
        <w:widowControl/>
        <w:spacing w:line="320" w:lineRule="exact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2. 垄断性产业的管制需求</w:t>
      </w:r>
    </w:p>
    <w:p>
      <w:pPr>
        <w:widowControl/>
        <w:spacing w:line="320" w:lineRule="exact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3. 垄断性产业的主要管制政策及有效性</w:t>
      </w:r>
    </w:p>
    <w:p>
      <w:pPr>
        <w:widowControl/>
        <w:spacing w:line="320" w:lineRule="exact"/>
        <w:ind w:firstLine="210" w:firstLineChars="10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（三）产业机构政策</w:t>
      </w:r>
    </w:p>
    <w:p>
      <w:pPr>
        <w:widowControl/>
        <w:spacing w:line="320" w:lineRule="exact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1. 产业结构政策的主要内容</w:t>
      </w:r>
    </w:p>
    <w:p>
      <w:pPr>
        <w:widowControl/>
        <w:spacing w:line="320" w:lineRule="exact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2. 产业结构政策在中国的应用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11A3A"/>
    <w:multiLevelType w:val="singleLevel"/>
    <w:tmpl w:val="A8F11A3A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0B962FB"/>
    <w:multiLevelType w:val="multilevel"/>
    <w:tmpl w:val="00B962FB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2">
    <w:nsid w:val="0F3D3C67"/>
    <w:multiLevelType w:val="multilevel"/>
    <w:tmpl w:val="0F3D3C6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90B5E70"/>
    <w:multiLevelType w:val="multilevel"/>
    <w:tmpl w:val="190B5E70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4">
    <w:nsid w:val="1CCD2D6B"/>
    <w:multiLevelType w:val="multilevel"/>
    <w:tmpl w:val="1CCD2D6B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5">
    <w:nsid w:val="204B17D8"/>
    <w:multiLevelType w:val="multilevel"/>
    <w:tmpl w:val="204B17D8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6">
    <w:nsid w:val="39C44995"/>
    <w:multiLevelType w:val="multilevel"/>
    <w:tmpl w:val="39C44995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7">
    <w:nsid w:val="3C3321C2"/>
    <w:multiLevelType w:val="multilevel"/>
    <w:tmpl w:val="3C3321C2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8">
    <w:nsid w:val="470722AA"/>
    <w:multiLevelType w:val="multilevel"/>
    <w:tmpl w:val="470722AA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9">
    <w:nsid w:val="57CF640C"/>
    <w:multiLevelType w:val="multilevel"/>
    <w:tmpl w:val="57CF640C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0">
    <w:nsid w:val="5FD7038C"/>
    <w:multiLevelType w:val="multilevel"/>
    <w:tmpl w:val="5FD703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1030B7E"/>
    <w:multiLevelType w:val="multilevel"/>
    <w:tmpl w:val="61030B7E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">
    <w:nsid w:val="641950EC"/>
    <w:multiLevelType w:val="multilevel"/>
    <w:tmpl w:val="641950EC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3">
    <w:nsid w:val="68525032"/>
    <w:multiLevelType w:val="multilevel"/>
    <w:tmpl w:val="68525032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4">
    <w:nsid w:val="68793E39"/>
    <w:multiLevelType w:val="multilevel"/>
    <w:tmpl w:val="68793E39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15">
    <w:nsid w:val="7A270109"/>
    <w:multiLevelType w:val="multilevel"/>
    <w:tmpl w:val="7A270109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6"/>
    <w:rsid w:val="000017C0"/>
    <w:rsid w:val="00016140"/>
    <w:rsid w:val="00387D41"/>
    <w:rsid w:val="003A1B4C"/>
    <w:rsid w:val="00436E43"/>
    <w:rsid w:val="004B348C"/>
    <w:rsid w:val="007578A2"/>
    <w:rsid w:val="008A27B4"/>
    <w:rsid w:val="00993421"/>
    <w:rsid w:val="00A0445D"/>
    <w:rsid w:val="00A21E9E"/>
    <w:rsid w:val="00A21FDA"/>
    <w:rsid w:val="00A64F66"/>
    <w:rsid w:val="00A97A51"/>
    <w:rsid w:val="00B77BA6"/>
    <w:rsid w:val="00C67C14"/>
    <w:rsid w:val="00C9596C"/>
    <w:rsid w:val="00EE14AA"/>
    <w:rsid w:val="00FF1570"/>
    <w:rsid w:val="2583556D"/>
    <w:rsid w:val="60BE1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toc 3"/>
    <w:basedOn w:val="1"/>
    <w:next w:val="1"/>
    <w:uiPriority w:val="0"/>
    <w:pPr>
      <w:ind w:left="840" w:leftChars="400"/>
    </w:pPr>
  </w:style>
  <w:style w:type="paragraph" w:styleId="5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tabs>
        <w:tab w:val="right" w:leader="dot" w:pos="7175"/>
      </w:tabs>
      <w:ind w:left="420" w:leftChars="200" w:right="210" w:rightChars="100"/>
    </w:pPr>
    <w:rPr>
      <w:b/>
      <w:kern w:val="0"/>
      <w:lang/>
    </w:rPr>
  </w:style>
  <w:style w:type="paragraph" w:styleId="9">
    <w:name w:val="toc 2"/>
    <w:basedOn w:val="1"/>
    <w:next w:val="1"/>
    <w:uiPriority w:val="0"/>
    <w:pPr>
      <w:ind w:left="420" w:leftChars="200"/>
    </w:pPr>
  </w:style>
  <w:style w:type="character" w:styleId="12">
    <w:name w:val="Hyperlink"/>
    <w:uiPriority w:val="0"/>
    <w:rPr>
      <w:color w:val="136EC2"/>
      <w:u w:val="single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  <w:style w:type="character" w:customStyle="1" w:styleId="14">
    <w:name w:val="页脚 Char"/>
    <w:link w:val="6"/>
    <w:uiPriority w:val="0"/>
    <w:rPr>
      <w:kern w:val="2"/>
      <w:sz w:val="18"/>
      <w:szCs w:val="18"/>
    </w:rPr>
  </w:style>
  <w:style w:type="character" w:customStyle="1" w:styleId="15">
    <w:name w:val="标题 2 Char"/>
    <w:link w:val="3"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6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5</Pages>
  <Words>338</Words>
  <Characters>1932</Characters>
  <Lines>16</Lines>
  <Paragraphs>4</Paragraphs>
  <TotalTime>0</TotalTime>
  <ScaleCrop>false</ScaleCrop>
  <LinksUpToDate>false</LinksUpToDate>
  <CharactersWithSpaces>2266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2020-07-06T01:13:00Z</dcterms:created>
  <dc:creator>Administrator</dc:creator>
  <cp:lastModifiedBy>Administrator</cp:lastModifiedBy>
  <dcterms:modified xsi:type="dcterms:W3CDTF">2021-10-08T01:20:01Z</dcterms:modified>
  <dc:title>2007年硕士研究生入学考试大纲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